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14:paraId="7450E77D" w14:textId="68F407CB" w:rsidR="0090298A" w:rsidRPr="0090298A" w:rsidRDefault="00F95E7E" w:rsidP="0090298A">
      <w:pPr>
        <w:pStyle w:val="Header"/>
        <w:tabs>
          <w:tab w:val="center" w:pos="4536"/>
          <w:tab w:val="right" w:pos="9356"/>
          <w:tab w:val="right" w:pos="9781"/>
        </w:tabs>
        <w:ind w:right="-58"/>
        <w:rPr>
          <w:rFonts w:eastAsia="MS Mincho" w:cs="Arial"/>
          <w:bCs/>
          <w:sz w:val="28"/>
          <w:szCs w:val="24"/>
          <w:lang w:val="en-US"/>
        </w:rPr>
      </w:pPr>
      <w:r w:rsidRPr="003269B4">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42D635D4" wp14:editId="2E62C9A7">
                <wp:simplePos x="0" y="0"/>
                <wp:positionH relativeFrom="page">
                  <wp:posOffset>0</wp:posOffset>
                </wp:positionH>
                <wp:positionV relativeFrom="page">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FE7F9"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3269B4">
        <w:rPr>
          <w:rFonts w:eastAsia="MS Mincho" w:cs="Arial"/>
          <w:bCs/>
          <w:sz w:val="28"/>
          <w:szCs w:val="24"/>
          <w:lang w:val="en-US"/>
        </w:rPr>
        <w:t>3GPP TSG RAN WG1</w:t>
      </w:r>
      <w:r w:rsidRPr="003269B4">
        <w:rPr>
          <w:rFonts w:cs="Arial"/>
          <w:bCs/>
          <w:sz w:val="28"/>
          <w:szCs w:val="24"/>
          <w:lang w:val="en-US" w:eastAsia="zh-TW"/>
        </w:rPr>
        <w:t xml:space="preserve"> Meeting </w:t>
      </w:r>
      <w:r w:rsidR="000E54D9" w:rsidRPr="003269B4">
        <w:rPr>
          <w:rFonts w:cs="Arial" w:hint="eastAsia"/>
          <w:bCs/>
          <w:sz w:val="28"/>
          <w:szCs w:val="24"/>
          <w:lang w:val="en-US" w:eastAsia="zh-TW"/>
        </w:rPr>
        <w:t>#10</w:t>
      </w:r>
      <w:r w:rsidR="000E54D9" w:rsidRPr="003269B4">
        <w:rPr>
          <w:rFonts w:cs="Arial"/>
          <w:bCs/>
          <w:sz w:val="28"/>
          <w:szCs w:val="24"/>
          <w:lang w:val="en-US" w:eastAsia="zh-TW"/>
        </w:rPr>
        <w:t>6</w:t>
      </w:r>
      <w:r w:rsidR="00EE103F">
        <w:rPr>
          <w:rFonts w:cs="Arial"/>
          <w:bCs/>
          <w:sz w:val="28"/>
          <w:szCs w:val="24"/>
          <w:lang w:val="en-US" w:eastAsia="zh-TW"/>
        </w:rPr>
        <w:t>bis</w:t>
      </w:r>
      <w:r w:rsidRPr="003269B4">
        <w:rPr>
          <w:rFonts w:cs="Arial"/>
          <w:bCs/>
          <w:sz w:val="28"/>
          <w:szCs w:val="24"/>
          <w:lang w:val="en-US" w:eastAsia="zh-TW"/>
        </w:rPr>
        <w:t>-e</w:t>
      </w:r>
      <w:r w:rsidRPr="003269B4">
        <w:rPr>
          <w:rFonts w:cs="Arial" w:hint="eastAsia"/>
          <w:bCs/>
          <w:sz w:val="28"/>
          <w:szCs w:val="24"/>
          <w:lang w:val="en-US" w:eastAsia="zh-TW"/>
        </w:rPr>
        <w:t xml:space="preserve"> </w:t>
      </w:r>
      <w:r w:rsidRPr="003269B4">
        <w:rPr>
          <w:rFonts w:cs="Arial" w:hint="eastAsia"/>
          <w:bCs/>
          <w:sz w:val="28"/>
          <w:szCs w:val="24"/>
          <w:lang w:val="en-US" w:eastAsia="zh-TW"/>
        </w:rPr>
        <w:tab/>
      </w:r>
      <w:r w:rsidR="0090298A" w:rsidRPr="0090298A">
        <w:rPr>
          <w:rFonts w:eastAsia="MS Mincho" w:cs="Arial"/>
          <w:bCs/>
          <w:sz w:val="28"/>
          <w:szCs w:val="24"/>
          <w:lang w:val="en-US"/>
        </w:rPr>
        <w:t>R1-2109575</w:t>
      </w:r>
    </w:p>
    <w:p w14:paraId="1A62FB0E" w14:textId="77777777" w:rsidR="0090298A" w:rsidRPr="003269B4" w:rsidRDefault="0090298A" w:rsidP="00F95E7E">
      <w:pPr>
        <w:pStyle w:val="Header"/>
        <w:tabs>
          <w:tab w:val="center" w:pos="4536"/>
          <w:tab w:val="right" w:pos="9356"/>
          <w:tab w:val="right" w:pos="9781"/>
        </w:tabs>
        <w:ind w:right="-58"/>
        <w:rPr>
          <w:rFonts w:eastAsia="MS Mincho" w:cs="Arial"/>
          <w:bCs/>
          <w:sz w:val="28"/>
          <w:szCs w:val="24"/>
          <w:lang w:val="en-US"/>
        </w:rPr>
      </w:pPr>
    </w:p>
    <w:p w14:paraId="7F454B2D" w14:textId="66CAFB15" w:rsidR="000E54D9" w:rsidRPr="003269B4" w:rsidRDefault="000E54D9" w:rsidP="000E54D9">
      <w:pPr>
        <w:tabs>
          <w:tab w:val="center" w:pos="4536"/>
          <w:tab w:val="right" w:pos="9072"/>
        </w:tabs>
        <w:rPr>
          <w:rFonts w:ascii="Arial" w:eastAsia="MS Mincho" w:hAnsi="Arial" w:cs="Arial"/>
          <w:b/>
          <w:bCs/>
          <w:sz w:val="28"/>
          <w:lang w:eastAsia="ja-JP"/>
        </w:rPr>
      </w:pPr>
      <w:proofErr w:type="gramStart"/>
      <w:r w:rsidRPr="003269B4">
        <w:rPr>
          <w:rFonts w:ascii="Arial" w:eastAsia="MS Mincho" w:hAnsi="Arial" w:cs="Arial"/>
          <w:b/>
          <w:bCs/>
          <w:sz w:val="28"/>
          <w:lang w:eastAsia="ja-JP"/>
        </w:rPr>
        <w:t>e-Meeting</w:t>
      </w:r>
      <w:proofErr w:type="gramEnd"/>
      <w:r w:rsidRPr="003269B4">
        <w:rPr>
          <w:rFonts w:ascii="Arial" w:eastAsia="MS Mincho" w:hAnsi="Arial" w:cs="Arial"/>
          <w:b/>
          <w:bCs/>
          <w:sz w:val="28"/>
          <w:lang w:eastAsia="ja-JP"/>
        </w:rPr>
        <w:t xml:space="preserve">, </w:t>
      </w:r>
      <w:r w:rsidR="00EE103F">
        <w:rPr>
          <w:rFonts w:ascii="Arial" w:eastAsia="MS Mincho" w:hAnsi="Arial" w:cs="Arial"/>
          <w:b/>
          <w:bCs/>
          <w:sz w:val="28"/>
          <w:lang w:eastAsia="ja-JP"/>
        </w:rPr>
        <w:t>October</w:t>
      </w:r>
      <w:r w:rsidRPr="003269B4">
        <w:rPr>
          <w:rFonts w:ascii="Arial" w:eastAsia="MS Mincho" w:hAnsi="Arial" w:cs="Arial"/>
          <w:b/>
          <w:bCs/>
          <w:sz w:val="28"/>
          <w:lang w:eastAsia="ja-JP"/>
        </w:rPr>
        <w:t xml:space="preserve"> 1</w:t>
      </w:r>
      <w:r w:rsidR="00EE103F">
        <w:rPr>
          <w:rFonts w:ascii="Arial" w:eastAsia="MS Mincho" w:hAnsi="Arial" w:cs="Arial"/>
          <w:b/>
          <w:bCs/>
          <w:sz w:val="28"/>
          <w:lang w:eastAsia="ja-JP"/>
        </w:rPr>
        <w:t>1</w:t>
      </w:r>
      <w:r w:rsidRPr="003269B4">
        <w:rPr>
          <w:rFonts w:ascii="Arial" w:eastAsia="MS Mincho" w:hAnsi="Arial" w:cs="Arial"/>
          <w:b/>
          <w:bCs/>
          <w:sz w:val="28"/>
          <w:vertAlign w:val="superscript"/>
          <w:lang w:eastAsia="ja-JP"/>
        </w:rPr>
        <w:t>th</w:t>
      </w:r>
      <w:r w:rsidRPr="003269B4">
        <w:rPr>
          <w:rFonts w:ascii="Arial" w:eastAsia="MS Mincho" w:hAnsi="Arial" w:cs="Arial"/>
          <w:b/>
          <w:bCs/>
          <w:sz w:val="28"/>
          <w:lang w:eastAsia="ja-JP"/>
        </w:rPr>
        <w:t xml:space="preserve"> – </w:t>
      </w:r>
      <w:r w:rsidR="00EE103F">
        <w:rPr>
          <w:rFonts w:ascii="Arial" w:eastAsia="MS Mincho" w:hAnsi="Arial" w:cs="Arial"/>
          <w:b/>
          <w:bCs/>
          <w:sz w:val="28"/>
          <w:lang w:eastAsia="ja-JP"/>
        </w:rPr>
        <w:t>19</w:t>
      </w:r>
      <w:r w:rsidRPr="003269B4">
        <w:rPr>
          <w:rFonts w:ascii="Arial" w:eastAsia="MS Mincho" w:hAnsi="Arial" w:cs="Arial"/>
          <w:b/>
          <w:bCs/>
          <w:sz w:val="28"/>
          <w:vertAlign w:val="superscript"/>
          <w:lang w:eastAsia="ja-JP"/>
        </w:rPr>
        <w:t>th</w:t>
      </w:r>
      <w:r w:rsidRPr="003269B4">
        <w:rPr>
          <w:rFonts w:ascii="Arial" w:eastAsia="MS Mincho" w:hAnsi="Arial" w:cs="Arial"/>
          <w:b/>
          <w:bCs/>
          <w:sz w:val="28"/>
          <w:lang w:eastAsia="ja-JP"/>
        </w:rPr>
        <w:t>, 2021</w:t>
      </w:r>
    </w:p>
    <w:p w14:paraId="54880979" w14:textId="586AC330" w:rsidR="00076367" w:rsidRPr="003269B4" w:rsidRDefault="001F5046" w:rsidP="001F5046">
      <w:pPr>
        <w:pStyle w:val="Header"/>
        <w:tabs>
          <w:tab w:val="center" w:pos="4536"/>
          <w:tab w:val="right" w:pos="8280"/>
          <w:tab w:val="right" w:pos="9781"/>
        </w:tabs>
        <w:ind w:right="-58"/>
        <w:jc w:val="both"/>
        <w:rPr>
          <w:rFonts w:cs="Arial"/>
          <w:bCs/>
          <w:sz w:val="28"/>
          <w:szCs w:val="24"/>
          <w:lang w:val="en-US" w:eastAsia="zh-TW"/>
        </w:rPr>
      </w:pPr>
      <w:r w:rsidRPr="003269B4">
        <w:rPr>
          <w:rFonts w:eastAsia="MS Mincho" w:cs="Arial"/>
          <w:bCs/>
          <w:sz w:val="28"/>
          <w:szCs w:val="24"/>
          <w:lang w:val="en-US"/>
        </w:rPr>
        <w:t>Agenda Item:</w:t>
      </w:r>
      <w:r w:rsidRPr="003269B4">
        <w:rPr>
          <w:rFonts w:cs="Arial" w:hint="eastAsia"/>
          <w:bCs/>
          <w:sz w:val="28"/>
          <w:szCs w:val="24"/>
          <w:lang w:val="en-US" w:eastAsia="zh-TW"/>
        </w:rPr>
        <w:t xml:space="preserve"> </w:t>
      </w:r>
      <w:r w:rsidR="00725804" w:rsidRPr="003269B4">
        <w:rPr>
          <w:rFonts w:cs="Arial"/>
          <w:bCs/>
          <w:sz w:val="28"/>
          <w:szCs w:val="24"/>
          <w:lang w:val="en-US" w:eastAsia="zh-TW"/>
        </w:rPr>
        <w:t>8.3.1.1</w:t>
      </w:r>
    </w:p>
    <w:p w14:paraId="01E03782" w14:textId="77777777" w:rsidR="001F5046" w:rsidRPr="003269B4"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3269B4">
        <w:rPr>
          <w:rFonts w:eastAsia="MS Mincho" w:cs="Arial"/>
          <w:bCs/>
          <w:sz w:val="28"/>
          <w:szCs w:val="24"/>
          <w:lang w:val="en-US"/>
        </w:rPr>
        <w:t>Source:</w:t>
      </w:r>
      <w:r w:rsidRPr="003269B4">
        <w:rPr>
          <w:rFonts w:cs="Arial" w:hint="eastAsia"/>
          <w:bCs/>
          <w:sz w:val="28"/>
          <w:szCs w:val="24"/>
          <w:lang w:val="en-US" w:eastAsia="zh-TW"/>
        </w:rPr>
        <w:t xml:space="preserve"> </w:t>
      </w:r>
      <w:r w:rsidRPr="003269B4">
        <w:rPr>
          <w:rFonts w:eastAsia="MS Mincho" w:cs="Arial"/>
          <w:bCs/>
          <w:sz w:val="28"/>
          <w:szCs w:val="24"/>
          <w:lang w:val="en-US"/>
        </w:rPr>
        <w:t>MediaTek Inc.</w:t>
      </w:r>
    </w:p>
    <w:p w14:paraId="2C3FC2EE" w14:textId="7A483EF6" w:rsidR="00725804" w:rsidRPr="003269B4"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3269B4">
        <w:rPr>
          <w:rFonts w:eastAsia="MS Mincho" w:cs="Arial"/>
          <w:bCs/>
          <w:sz w:val="28"/>
          <w:szCs w:val="24"/>
          <w:lang w:val="en-US"/>
        </w:rPr>
        <w:t>Title:</w:t>
      </w:r>
      <w:r w:rsidR="00725804" w:rsidRPr="003269B4">
        <w:rPr>
          <w:rFonts w:eastAsia="MS Mincho" w:cs="Arial"/>
          <w:bCs/>
          <w:sz w:val="28"/>
          <w:szCs w:val="24"/>
          <w:lang w:val="en-US"/>
        </w:rPr>
        <w:t xml:space="preserve"> </w:t>
      </w:r>
      <w:r w:rsidR="00155DB4" w:rsidRPr="003269B4">
        <w:rPr>
          <w:rFonts w:eastAsia="MS Mincho" w:cs="Arial"/>
          <w:bCs/>
          <w:sz w:val="28"/>
          <w:szCs w:val="24"/>
          <w:lang w:val="en-US"/>
        </w:rPr>
        <w:t xml:space="preserve">On </w:t>
      </w:r>
      <w:r w:rsidR="00725804" w:rsidRPr="003269B4">
        <w:rPr>
          <w:rFonts w:eastAsia="MS Mincho" w:cs="Arial"/>
          <w:bCs/>
          <w:sz w:val="28"/>
          <w:szCs w:val="24"/>
          <w:lang w:val="en-US"/>
        </w:rPr>
        <w:t>UE feedback enhancements for HARQ-ACK</w:t>
      </w:r>
    </w:p>
    <w:p w14:paraId="715B1D71" w14:textId="3EB2F9EC" w:rsidR="001F5046" w:rsidRPr="003269B4"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3269B4">
        <w:rPr>
          <w:rFonts w:eastAsia="MS Mincho" w:cs="Arial"/>
          <w:bCs/>
          <w:sz w:val="28"/>
          <w:szCs w:val="24"/>
          <w:lang w:val="en-US"/>
        </w:rPr>
        <w:t>Document for:</w:t>
      </w:r>
      <w:r w:rsidRPr="003269B4">
        <w:rPr>
          <w:rFonts w:cs="Arial" w:hint="eastAsia"/>
          <w:bCs/>
          <w:sz w:val="28"/>
          <w:szCs w:val="24"/>
          <w:lang w:val="en-US" w:eastAsia="zh-TW"/>
        </w:rPr>
        <w:t xml:space="preserve"> </w:t>
      </w:r>
      <w:r w:rsidRPr="003269B4">
        <w:rPr>
          <w:rFonts w:eastAsia="MS Mincho" w:cs="Arial"/>
          <w:bCs/>
          <w:sz w:val="28"/>
          <w:szCs w:val="24"/>
          <w:lang w:val="en-US"/>
        </w:rPr>
        <w:t>Discussion and Decision</w:t>
      </w:r>
    </w:p>
    <w:bookmarkEnd w:id="0"/>
    <w:bookmarkEnd w:id="1"/>
    <w:p w14:paraId="4F856FC9" w14:textId="77777777" w:rsidR="001F5046" w:rsidRPr="003269B4" w:rsidRDefault="001F5046" w:rsidP="001F5046">
      <w:pPr>
        <w:pStyle w:val="Heading1"/>
        <w:jc w:val="both"/>
      </w:pPr>
      <w:r w:rsidRPr="003269B4">
        <w:rPr>
          <w:rFonts w:hint="eastAsia"/>
          <w:lang w:eastAsia="zh-TW"/>
        </w:rPr>
        <w:t>Introduction</w:t>
      </w:r>
    </w:p>
    <w:p w14:paraId="3CB3A5FE" w14:textId="00471E03" w:rsidR="00725804" w:rsidRPr="003269B4" w:rsidRDefault="00AC21B5" w:rsidP="001D5F73">
      <w:pPr>
        <w:overflowPunct w:val="0"/>
        <w:autoSpaceDE w:val="0"/>
        <w:autoSpaceDN w:val="0"/>
        <w:jc w:val="both"/>
      </w:pPr>
      <w:r w:rsidRPr="003269B4">
        <w:t>During RAN#8</w:t>
      </w:r>
      <w:r w:rsidR="00F0785D" w:rsidRPr="003269B4">
        <w:t>8</w:t>
      </w:r>
      <w:r w:rsidR="005778ED" w:rsidRPr="003269B4">
        <w:t>-e</w:t>
      </w:r>
      <w:r w:rsidRPr="003269B4">
        <w:t xml:space="preserve"> plenary</w:t>
      </w:r>
      <w:r w:rsidR="00B43B9E" w:rsidRPr="003269B4">
        <w:t xml:space="preserve"> </w:t>
      </w:r>
      <w:r w:rsidR="00B43B9E" w:rsidRPr="003269B4">
        <w:fldChar w:fldCharType="begin"/>
      </w:r>
      <w:r w:rsidR="00B43B9E" w:rsidRPr="003269B4">
        <w:instrText xml:space="preserve"> REF _Ref47346549 \r \h </w:instrText>
      </w:r>
      <w:r w:rsidR="001D5F73" w:rsidRPr="003269B4">
        <w:instrText xml:space="preserve"> \* MERGEFORMAT </w:instrText>
      </w:r>
      <w:r w:rsidR="00B43B9E" w:rsidRPr="003269B4">
        <w:fldChar w:fldCharType="separate"/>
      </w:r>
      <w:r w:rsidR="00725364">
        <w:t>[1]</w:t>
      </w:r>
      <w:r w:rsidR="00B43B9E" w:rsidRPr="003269B4">
        <w:fldChar w:fldCharType="end"/>
      </w:r>
      <w:r w:rsidRPr="003269B4">
        <w:t>,</w:t>
      </w:r>
      <w:r w:rsidR="00F0785D" w:rsidRPr="003269B4">
        <w:t xml:space="preserve"> it was agreed to specify </w:t>
      </w:r>
      <w:r w:rsidR="000536C3" w:rsidRPr="003269B4">
        <w:t xml:space="preserve">in Rel-17 </w:t>
      </w:r>
      <w:r w:rsidR="00F0785D" w:rsidRPr="003269B4">
        <w:t xml:space="preserve">the required </w:t>
      </w:r>
      <w:r w:rsidR="00725804" w:rsidRPr="003269B4">
        <w:t>UE feedback enhancements for HARQ-ACK.</w:t>
      </w:r>
    </w:p>
    <w:p w14:paraId="03CBCE3D" w14:textId="77777777" w:rsidR="00725804" w:rsidRPr="003269B4" w:rsidRDefault="00725804" w:rsidP="001D5F73">
      <w:pPr>
        <w:overflowPunct w:val="0"/>
        <w:autoSpaceDE w:val="0"/>
        <w:autoSpaceDN w:val="0"/>
        <w:jc w:val="both"/>
        <w:rPr>
          <w:lang w:eastAsia="fi-FI"/>
        </w:rPr>
      </w:pPr>
    </w:p>
    <w:p w14:paraId="0231100D" w14:textId="6ED2E80E" w:rsidR="0051423F" w:rsidRPr="003269B4" w:rsidRDefault="0051423F" w:rsidP="001D5F73">
      <w:pPr>
        <w:jc w:val="both"/>
        <w:rPr>
          <w:kern w:val="2"/>
          <w:lang w:eastAsia="zh-CN"/>
        </w:rPr>
      </w:pPr>
      <w:r w:rsidRPr="003269B4">
        <w:rPr>
          <w:kern w:val="2"/>
          <w:lang w:eastAsia="zh-CN"/>
        </w:rPr>
        <w:t>In this paper, we discuss some HARQ-ACK feedback enhancements like cross-carrier PUCCH</w:t>
      </w:r>
      <w:r w:rsidR="00F95E7E" w:rsidRPr="003269B4">
        <w:rPr>
          <w:kern w:val="2"/>
          <w:lang w:eastAsia="zh-CN"/>
        </w:rPr>
        <w:t xml:space="preserve"> switching</w:t>
      </w:r>
      <w:r w:rsidRPr="003269B4">
        <w:rPr>
          <w:kern w:val="2"/>
          <w:lang w:eastAsia="zh-CN"/>
        </w:rPr>
        <w:t xml:space="preserve">. </w:t>
      </w:r>
    </w:p>
    <w:p w14:paraId="749FC9B6" w14:textId="7FFAA072" w:rsidR="00F0785D" w:rsidRPr="003269B4" w:rsidRDefault="006A521B" w:rsidP="007D20AF">
      <w:pPr>
        <w:pStyle w:val="Heading1"/>
        <w:jc w:val="both"/>
        <w:rPr>
          <w:lang w:eastAsia="zh-TW"/>
        </w:rPr>
      </w:pPr>
      <w:r w:rsidRPr="003269B4">
        <w:rPr>
          <w:lang w:eastAsia="zh-TW"/>
        </w:rPr>
        <w:t xml:space="preserve">PUCCH </w:t>
      </w:r>
      <w:r w:rsidR="000E54D9" w:rsidRPr="003269B4">
        <w:rPr>
          <w:lang w:eastAsia="zh-TW"/>
        </w:rPr>
        <w:t>Carrier Switching</w:t>
      </w:r>
    </w:p>
    <w:p w14:paraId="4CEA4128" w14:textId="7A527B42" w:rsidR="000E54D9" w:rsidRPr="003269B4" w:rsidRDefault="000E54D9" w:rsidP="000E54D9">
      <w:pPr>
        <w:rPr>
          <w:lang w:val="en-GB"/>
        </w:rPr>
      </w:pPr>
      <w:r w:rsidRPr="003269B4">
        <w:rPr>
          <w:lang w:val="en-GB"/>
        </w:rPr>
        <w:t xml:space="preserve">In RAN1#105e </w:t>
      </w:r>
      <w:r w:rsidR="00B65AE6" w:rsidRPr="003269B4">
        <w:rPr>
          <w:lang w:val="en-GB"/>
        </w:rPr>
        <w:fldChar w:fldCharType="begin"/>
      </w:r>
      <w:r w:rsidR="00B65AE6" w:rsidRPr="003269B4">
        <w:rPr>
          <w:lang w:val="en-GB"/>
        </w:rPr>
        <w:instrText xml:space="preserve"> REF _Ref77769965 \r \h </w:instrText>
      </w:r>
      <w:r w:rsidR="00B65AE6" w:rsidRPr="003269B4">
        <w:rPr>
          <w:lang w:val="en-GB"/>
        </w:rPr>
      </w:r>
      <w:r w:rsidR="00B65AE6" w:rsidRPr="003269B4">
        <w:rPr>
          <w:lang w:val="en-GB"/>
        </w:rPr>
        <w:fldChar w:fldCharType="separate"/>
      </w:r>
      <w:r w:rsidR="00725364">
        <w:rPr>
          <w:lang w:val="en-GB"/>
        </w:rPr>
        <w:t>[6]</w:t>
      </w:r>
      <w:r w:rsidR="00B65AE6" w:rsidRPr="003269B4">
        <w:rPr>
          <w:lang w:val="en-GB"/>
        </w:rPr>
        <w:fldChar w:fldCharType="end"/>
      </w:r>
      <w:r w:rsidR="00B65AE6" w:rsidRPr="003269B4">
        <w:rPr>
          <w:lang w:val="en-GB"/>
        </w:rPr>
        <w:t>, the following agreement has been made</w:t>
      </w:r>
      <w:r w:rsidR="00CD54BC" w:rsidRPr="003269B4">
        <w:rPr>
          <w:lang w:val="en-GB"/>
        </w:rPr>
        <w:t xml:space="preserve"> for the support of PUCCH carrier switching in Rel-17</w:t>
      </w:r>
      <w:r w:rsidR="00B65AE6" w:rsidRPr="003269B4">
        <w:rPr>
          <w:lang w:val="en-GB"/>
        </w:rPr>
        <w:t xml:space="preserve">: </w:t>
      </w:r>
    </w:p>
    <w:p w14:paraId="494F7C67" w14:textId="77777777" w:rsidR="00CD54BC" w:rsidRPr="003269B4" w:rsidRDefault="00CD54BC" w:rsidP="000E54D9">
      <w:pPr>
        <w:rPr>
          <w:lang w:val="en-GB"/>
        </w:rPr>
      </w:pPr>
    </w:p>
    <w:p w14:paraId="108EDEF7" w14:textId="77777777" w:rsidR="000E54D9" w:rsidRPr="003269B4" w:rsidRDefault="000E54D9" w:rsidP="000E54D9">
      <w:pPr>
        <w:jc w:val="both"/>
        <w:rPr>
          <w:rFonts w:ascii="Times New Roman" w:hAnsi="Times New Roman"/>
          <w:lang w:eastAsia="zh-CN"/>
        </w:rPr>
      </w:pPr>
      <w:r w:rsidRPr="003269B4">
        <w:rPr>
          <w:highlight w:val="green"/>
          <w:lang w:eastAsia="zh-CN"/>
        </w:rPr>
        <w:t>Agreement</w:t>
      </w:r>
      <w:r w:rsidRPr="003269B4">
        <w:rPr>
          <w:lang w:eastAsia="zh-CN"/>
        </w:rPr>
        <w:t xml:space="preserve">: Support PUCCH carrier switching based on dynamic indication in DCI scheduling a PUCCH and semi-static configuration </w:t>
      </w:r>
    </w:p>
    <w:p w14:paraId="540C60CD" w14:textId="77777777" w:rsidR="000E54D9" w:rsidRPr="003269B4" w:rsidRDefault="000E54D9" w:rsidP="008E1395">
      <w:pPr>
        <w:pStyle w:val="ListParagraph"/>
        <w:numPr>
          <w:ilvl w:val="0"/>
          <w:numId w:val="4"/>
        </w:numPr>
        <w:spacing w:after="100" w:afterAutospacing="1" w:line="240" w:lineRule="auto"/>
        <w:jc w:val="both"/>
        <w:rPr>
          <w:rFonts w:cs="Calibri"/>
          <w:lang w:eastAsia="en-US"/>
        </w:rPr>
      </w:pPr>
      <w:r w:rsidRPr="003269B4">
        <w:rPr>
          <w:lang w:eastAsia="zh-CN"/>
        </w:rPr>
        <w:t>Details are FFS (including applicability of dynamic and/or semi-static means)</w:t>
      </w:r>
    </w:p>
    <w:p w14:paraId="79EA85B7" w14:textId="77777777" w:rsidR="000E54D9" w:rsidRPr="003269B4" w:rsidRDefault="000E54D9" w:rsidP="008E1395">
      <w:pPr>
        <w:pStyle w:val="ListParagraph"/>
        <w:numPr>
          <w:ilvl w:val="0"/>
          <w:numId w:val="4"/>
        </w:numPr>
        <w:spacing w:before="100" w:after="100" w:line="240" w:lineRule="auto"/>
        <w:jc w:val="both"/>
        <w:rPr>
          <w:lang w:val="it-IT"/>
        </w:rPr>
      </w:pPr>
      <w:r w:rsidRPr="003269B4">
        <w:rPr>
          <w:lang w:eastAsia="zh-CN"/>
        </w:rPr>
        <w:t xml:space="preserve">Aim for minimum specification impact </w:t>
      </w:r>
    </w:p>
    <w:p w14:paraId="3518B73D" w14:textId="77777777" w:rsidR="000E54D9" w:rsidRPr="003269B4" w:rsidRDefault="000E54D9" w:rsidP="008E1395">
      <w:pPr>
        <w:pStyle w:val="ListParagraph"/>
        <w:numPr>
          <w:ilvl w:val="0"/>
          <w:numId w:val="4"/>
        </w:numPr>
        <w:spacing w:before="100" w:after="100" w:line="240" w:lineRule="auto"/>
        <w:jc w:val="both"/>
        <w:rPr>
          <w:lang w:val="en-US"/>
        </w:rPr>
      </w:pPr>
      <w:r w:rsidRPr="003269B4">
        <w:rPr>
          <w:lang w:eastAsia="zh-CN"/>
        </w:rPr>
        <w:t>Dynamic indication and/or semi-static configuration are subject to separate UE capabilities</w:t>
      </w:r>
    </w:p>
    <w:p w14:paraId="103A7F72" w14:textId="77777777" w:rsidR="000E54D9" w:rsidRPr="003269B4" w:rsidRDefault="000E54D9" w:rsidP="008E1395">
      <w:pPr>
        <w:pStyle w:val="ListParagraph"/>
        <w:numPr>
          <w:ilvl w:val="0"/>
          <w:numId w:val="4"/>
        </w:numPr>
        <w:spacing w:before="100" w:after="100" w:line="240" w:lineRule="auto"/>
        <w:jc w:val="both"/>
        <w:rPr>
          <w:lang w:eastAsia="zh-CN"/>
        </w:rPr>
      </w:pPr>
      <w:r w:rsidRPr="003269B4">
        <w:rPr>
          <w:lang w:eastAsia="zh-CN"/>
        </w:rPr>
        <w:t xml:space="preserve">The semi-static PUCCH carrier switching configuration operation is based on RRC configured PUCCH cell timing pattern of applicable PUCCH cells </w:t>
      </w:r>
      <w:r w:rsidRPr="003269B4">
        <w:t>and supports PUCCH carrier switching across cells with different numerologies.</w:t>
      </w:r>
    </w:p>
    <w:p w14:paraId="2F37FB8D" w14:textId="77777777" w:rsidR="000E54D9" w:rsidRPr="003269B4" w:rsidRDefault="000E54D9" w:rsidP="008E1395">
      <w:pPr>
        <w:pStyle w:val="ListParagraph"/>
        <w:numPr>
          <w:ilvl w:val="1"/>
          <w:numId w:val="4"/>
        </w:numPr>
        <w:spacing w:before="100" w:after="100" w:line="240" w:lineRule="auto"/>
        <w:rPr>
          <w:lang w:val="en-US" w:eastAsia="zh-CN"/>
        </w:rPr>
      </w:pPr>
      <w:r w:rsidRPr="003269B4">
        <w:rPr>
          <w:lang w:eastAsia="zh-CN"/>
        </w:rPr>
        <w:t>FFS whether additional rules are needed to support PUCCH carrier switching across cells with different numerologies</w:t>
      </w:r>
    </w:p>
    <w:p w14:paraId="11BA2079" w14:textId="77777777" w:rsidR="000E54D9" w:rsidRPr="003269B4" w:rsidRDefault="000E54D9" w:rsidP="008E1395">
      <w:pPr>
        <w:pStyle w:val="ListParagraph"/>
        <w:numPr>
          <w:ilvl w:val="0"/>
          <w:numId w:val="4"/>
        </w:numPr>
        <w:spacing w:before="100" w:after="100" w:line="240" w:lineRule="auto"/>
        <w:jc w:val="both"/>
        <w:rPr>
          <w:lang w:eastAsia="zh-CN"/>
        </w:rPr>
      </w:pPr>
      <w:r w:rsidRPr="003269B4">
        <w:rPr>
          <w:lang w:eastAsia="zh-CN"/>
        </w:rPr>
        <w:t>FFS the maximum number of PUCCH cells</w:t>
      </w:r>
    </w:p>
    <w:p w14:paraId="2C7C8A0A" w14:textId="77777777" w:rsidR="000E54D9" w:rsidRPr="003269B4" w:rsidRDefault="000E54D9" w:rsidP="008E1395">
      <w:pPr>
        <w:pStyle w:val="ListParagraph"/>
        <w:numPr>
          <w:ilvl w:val="0"/>
          <w:numId w:val="4"/>
        </w:numPr>
        <w:spacing w:before="100" w:after="100" w:line="240" w:lineRule="auto"/>
        <w:jc w:val="both"/>
        <w:rPr>
          <w:lang w:eastAsia="zh-CN"/>
        </w:rPr>
      </w:pPr>
      <w:r w:rsidRPr="003269B4">
        <w:rPr>
          <w:lang w:eastAsia="zh-CN"/>
        </w:rPr>
        <w:t>FFS whether and how to support joint operation of dynamic and semi-static carrier switching for a UE</w:t>
      </w:r>
    </w:p>
    <w:p w14:paraId="40C8716F" w14:textId="77777777" w:rsidR="000E54D9" w:rsidRPr="003269B4" w:rsidRDefault="000E54D9" w:rsidP="008E1395">
      <w:pPr>
        <w:pStyle w:val="ListParagraph"/>
        <w:numPr>
          <w:ilvl w:val="0"/>
          <w:numId w:val="4"/>
        </w:numPr>
        <w:spacing w:before="100" w:after="100" w:line="240" w:lineRule="auto"/>
        <w:jc w:val="both"/>
        <w:rPr>
          <w:lang w:eastAsia="zh-CN"/>
        </w:rPr>
      </w:pPr>
      <w:r w:rsidRPr="003269B4">
        <w:rPr>
          <w:lang w:eastAsia="zh-CN"/>
        </w:rPr>
        <w:t>FFS whether and how to support joint operation of PUCCH carrier switching and SPS HARQ-ACK deferral</w:t>
      </w:r>
    </w:p>
    <w:p w14:paraId="51D26C3A" w14:textId="77777777" w:rsidR="000E54D9" w:rsidRDefault="000E54D9" w:rsidP="000E54D9">
      <w:pPr>
        <w:rPr>
          <w:lang w:val="x-none"/>
        </w:rPr>
      </w:pPr>
    </w:p>
    <w:p w14:paraId="091458B2" w14:textId="291FDAEF" w:rsidR="00EE103F" w:rsidRDefault="00EE103F" w:rsidP="000E54D9">
      <w:pPr>
        <w:rPr>
          <w:lang w:val="en-GB"/>
        </w:rPr>
      </w:pPr>
      <w:r>
        <w:rPr>
          <w:lang w:val="en-GB"/>
        </w:rPr>
        <w:t>In RAN1#106</w:t>
      </w:r>
      <w:r w:rsidRPr="003269B4">
        <w:rPr>
          <w:lang w:val="en-GB"/>
        </w:rPr>
        <w:t xml:space="preserve">e </w:t>
      </w:r>
      <w:r>
        <w:rPr>
          <w:lang w:val="en-GB"/>
        </w:rPr>
        <w:fldChar w:fldCharType="begin"/>
      </w:r>
      <w:r>
        <w:rPr>
          <w:lang w:val="en-GB"/>
        </w:rPr>
        <w:instrText xml:space="preserve"> REF _Ref83398614 \r \h </w:instrText>
      </w:r>
      <w:r>
        <w:rPr>
          <w:lang w:val="en-GB"/>
        </w:rPr>
      </w:r>
      <w:r>
        <w:rPr>
          <w:lang w:val="en-GB"/>
        </w:rPr>
        <w:fldChar w:fldCharType="separate"/>
      </w:r>
      <w:r>
        <w:rPr>
          <w:lang w:val="en-GB"/>
        </w:rPr>
        <w:t>[7]</w:t>
      </w:r>
      <w:r>
        <w:rPr>
          <w:lang w:val="en-GB"/>
        </w:rPr>
        <w:fldChar w:fldCharType="end"/>
      </w:r>
      <w:r>
        <w:rPr>
          <w:lang w:val="en-GB"/>
        </w:rPr>
        <w:t xml:space="preserve">, </w:t>
      </w:r>
      <w:r w:rsidR="00224A3D">
        <w:rPr>
          <w:lang w:val="en-GB"/>
        </w:rPr>
        <w:t xml:space="preserve">the following agreements have been reached: </w:t>
      </w:r>
    </w:p>
    <w:p w14:paraId="49D9C0E9" w14:textId="77777777" w:rsidR="00224A3D" w:rsidRDefault="00224A3D" w:rsidP="000E54D9">
      <w:pPr>
        <w:rPr>
          <w:lang w:val="en-GB"/>
        </w:rPr>
      </w:pPr>
    </w:p>
    <w:p w14:paraId="165705A8" w14:textId="77777777" w:rsidR="00224A3D" w:rsidRPr="00DA64B4" w:rsidRDefault="00224A3D" w:rsidP="00224A3D">
      <w:pPr>
        <w:rPr>
          <w:b/>
          <w:szCs w:val="20"/>
          <w:highlight w:val="green"/>
          <w:lang w:eastAsia="zh-CN"/>
        </w:rPr>
      </w:pPr>
      <w:r w:rsidRPr="00DA64B4">
        <w:rPr>
          <w:b/>
          <w:szCs w:val="20"/>
          <w:highlight w:val="green"/>
          <w:lang w:eastAsia="zh-CN"/>
        </w:rPr>
        <w:t>Agreement</w:t>
      </w:r>
    </w:p>
    <w:p w14:paraId="1BB37390" w14:textId="1A1F9D14" w:rsidR="00224A3D" w:rsidRPr="00224A3D" w:rsidRDefault="00224A3D" w:rsidP="008E1395">
      <w:pPr>
        <w:numPr>
          <w:ilvl w:val="0"/>
          <w:numId w:val="7"/>
        </w:numPr>
        <w:rPr>
          <w:bCs/>
          <w:szCs w:val="20"/>
        </w:rPr>
      </w:pPr>
      <w:r w:rsidRPr="00224A3D">
        <w:rPr>
          <w:bCs/>
          <w:szCs w:val="20"/>
        </w:rPr>
        <w:t xml:space="preserve">RAN1#105-e Agreement: For PUCCH carrier switching, the PUCCH configuration (i.e. </w:t>
      </w:r>
      <w:proofErr w:type="spellStart"/>
      <w:r w:rsidRPr="00224A3D">
        <w:rPr>
          <w:bCs/>
          <w:i/>
          <w:iCs/>
          <w:szCs w:val="20"/>
        </w:rPr>
        <w:t>pucch-Config</w:t>
      </w:r>
      <w:proofErr w:type="spellEnd"/>
      <w:r w:rsidRPr="00224A3D">
        <w:rPr>
          <w:bCs/>
          <w:i/>
          <w:iCs/>
          <w:szCs w:val="20"/>
        </w:rPr>
        <w:t xml:space="preserve"> / PUCCH-</w:t>
      </w:r>
      <w:proofErr w:type="spellStart"/>
      <w:r w:rsidRPr="00224A3D">
        <w:rPr>
          <w:bCs/>
          <w:i/>
          <w:iCs/>
          <w:szCs w:val="20"/>
        </w:rPr>
        <w:t>ConfigurationList</w:t>
      </w:r>
      <w:proofErr w:type="spellEnd"/>
      <w:r w:rsidRPr="00224A3D">
        <w:rPr>
          <w:bCs/>
          <w:szCs w:val="20"/>
        </w:rPr>
        <w:t>) is per UL BWP (i.e. per candidate cell and UL BWP of that specific candidate cell).</w:t>
      </w:r>
    </w:p>
    <w:p w14:paraId="4E652A96" w14:textId="77777777" w:rsidR="00224A3D" w:rsidRPr="00224A3D" w:rsidRDefault="00224A3D" w:rsidP="008E1395">
      <w:pPr>
        <w:numPr>
          <w:ilvl w:val="1"/>
          <w:numId w:val="7"/>
        </w:numPr>
        <w:rPr>
          <w:bCs/>
          <w:szCs w:val="20"/>
          <w:lang w:eastAsia="zh-CN"/>
        </w:rPr>
      </w:pPr>
      <w:r w:rsidRPr="00224A3D">
        <w:rPr>
          <w:bCs/>
          <w:szCs w:val="20"/>
        </w:rPr>
        <w:t>FFS: CSI and SR</w:t>
      </w:r>
    </w:p>
    <w:p w14:paraId="7AF877FB" w14:textId="77777777" w:rsidR="00224A3D" w:rsidRDefault="00224A3D" w:rsidP="000E54D9">
      <w:pPr>
        <w:rPr>
          <w:lang w:val="en-GB"/>
        </w:rPr>
      </w:pPr>
    </w:p>
    <w:p w14:paraId="64EFA694" w14:textId="77777777" w:rsidR="008E1395" w:rsidRDefault="008E1395" w:rsidP="000E54D9">
      <w:pPr>
        <w:rPr>
          <w:lang w:val="en-GB"/>
        </w:rPr>
      </w:pPr>
    </w:p>
    <w:p w14:paraId="6DECB745" w14:textId="77777777" w:rsidR="00224A3D" w:rsidRPr="00F826E4" w:rsidRDefault="00224A3D" w:rsidP="00224A3D">
      <w:pPr>
        <w:rPr>
          <w:b/>
          <w:bCs/>
          <w:szCs w:val="20"/>
          <w:highlight w:val="green"/>
          <w:lang w:eastAsia="x-none"/>
        </w:rPr>
      </w:pPr>
      <w:r w:rsidRPr="00F826E4">
        <w:rPr>
          <w:b/>
          <w:bCs/>
          <w:szCs w:val="20"/>
          <w:highlight w:val="green"/>
          <w:lang w:eastAsia="x-none"/>
        </w:rPr>
        <w:lastRenderedPageBreak/>
        <w:t>Agreement</w:t>
      </w:r>
    </w:p>
    <w:p w14:paraId="2D3FB6D9" w14:textId="77777777" w:rsidR="00224A3D" w:rsidRPr="00260213" w:rsidRDefault="00224A3D" w:rsidP="00224A3D">
      <w:pPr>
        <w:rPr>
          <w:rFonts w:cs="Times"/>
          <w:bCs/>
          <w:lang w:eastAsia="zh-CN"/>
        </w:rPr>
      </w:pPr>
      <w:r w:rsidRPr="00260213">
        <w:rPr>
          <w:rFonts w:cs="Times"/>
          <w:bCs/>
          <w:lang w:eastAsia="zh-CN"/>
        </w:rPr>
        <w:t xml:space="preserve">Semi-static PUCCH carrier switching is applicable to all UCI types incl. HARQ-ACK, SR and CSI. </w:t>
      </w:r>
    </w:p>
    <w:p w14:paraId="60DBDE51" w14:textId="77777777" w:rsidR="00224A3D" w:rsidRDefault="00224A3D" w:rsidP="000E54D9">
      <w:pPr>
        <w:rPr>
          <w:lang w:val="en-GB"/>
        </w:rPr>
      </w:pPr>
    </w:p>
    <w:p w14:paraId="20D5D4A1" w14:textId="77777777" w:rsidR="00EE103F" w:rsidRPr="003269B4" w:rsidRDefault="00EE103F" w:rsidP="000E54D9">
      <w:pPr>
        <w:rPr>
          <w:lang w:val="x-none"/>
        </w:rPr>
      </w:pPr>
    </w:p>
    <w:p w14:paraId="3AD5DDE5" w14:textId="21F8B1A2" w:rsidR="00725364" w:rsidRPr="00725364" w:rsidRDefault="004575B9" w:rsidP="00725364">
      <w:pPr>
        <w:rPr>
          <w:lang w:val="en-GB"/>
        </w:rPr>
      </w:pPr>
      <w:r>
        <w:rPr>
          <w:lang w:val="en-GB"/>
        </w:rPr>
        <w:t>Hence, t</w:t>
      </w:r>
      <w:r w:rsidR="00913AD5" w:rsidRPr="003269B4">
        <w:rPr>
          <w:lang w:val="en-GB"/>
        </w:rPr>
        <w:t xml:space="preserve">wo flavours are agreed to be both supported for the PUCCH carrier switching, the dynamic indication </w:t>
      </w:r>
      <w:r w:rsidR="00B30509" w:rsidRPr="003269B4">
        <w:rPr>
          <w:lang w:val="en-GB"/>
        </w:rPr>
        <w:t>(</w:t>
      </w:r>
      <w:r w:rsidR="00B30509" w:rsidRPr="003269B4">
        <w:rPr>
          <w:lang w:val="en-GB"/>
        </w:rPr>
        <w:fldChar w:fldCharType="begin"/>
      </w:r>
      <w:r w:rsidR="00B30509" w:rsidRPr="003269B4">
        <w:rPr>
          <w:lang w:val="en-GB"/>
        </w:rPr>
        <w:instrText xml:space="preserve"> REF _Ref77776831 \h  \* MERGEFORMAT </w:instrText>
      </w:r>
      <w:r w:rsidR="00B30509" w:rsidRPr="003269B4">
        <w:rPr>
          <w:lang w:val="en-GB"/>
        </w:rPr>
      </w:r>
      <w:r w:rsidR="00B30509" w:rsidRPr="003269B4">
        <w:rPr>
          <w:lang w:val="en-GB"/>
        </w:rPr>
        <w:fldChar w:fldCharType="separate"/>
      </w:r>
      <w:r w:rsidR="00725364" w:rsidRPr="00725364">
        <w:rPr>
          <w:lang w:val="en-GB"/>
        </w:rPr>
        <w:t>Figure 1</w:t>
      </w:r>
      <w:r w:rsidR="00B30509" w:rsidRPr="003269B4">
        <w:rPr>
          <w:lang w:val="en-GB"/>
        </w:rPr>
        <w:fldChar w:fldCharType="end"/>
      </w:r>
      <w:r w:rsidR="00B30509" w:rsidRPr="003269B4">
        <w:rPr>
          <w:lang w:val="en-GB"/>
        </w:rPr>
        <w:t xml:space="preserve">) </w:t>
      </w:r>
      <w:r w:rsidR="00913AD5" w:rsidRPr="003269B4">
        <w:rPr>
          <w:lang w:val="en-GB"/>
        </w:rPr>
        <w:t xml:space="preserve">and the semi-static one based on </w:t>
      </w:r>
      <w:r w:rsidR="00044AC1" w:rsidRPr="003269B4">
        <w:rPr>
          <w:lang w:val="en-GB"/>
        </w:rPr>
        <w:t xml:space="preserve">the </w:t>
      </w:r>
      <w:r w:rsidR="00913AD5" w:rsidRPr="003269B4">
        <w:rPr>
          <w:lang w:val="en-GB"/>
        </w:rPr>
        <w:t>RRC configured PUCCH cell timing pattern</w:t>
      </w:r>
      <w:r w:rsidR="00B30509" w:rsidRPr="003269B4">
        <w:rPr>
          <w:lang w:val="en-GB"/>
        </w:rPr>
        <w:t xml:space="preserve"> (</w:t>
      </w:r>
      <w:r w:rsidR="00B30509" w:rsidRPr="003269B4">
        <w:rPr>
          <w:lang w:val="en-GB"/>
        </w:rPr>
        <w:fldChar w:fldCharType="begin"/>
      </w:r>
      <w:r w:rsidR="00B30509" w:rsidRPr="003269B4">
        <w:rPr>
          <w:lang w:val="en-GB"/>
        </w:rPr>
        <w:instrText xml:space="preserve"> REF _Ref77776849 \h  \* MERGEFORMAT </w:instrText>
      </w:r>
      <w:r w:rsidR="00B30509" w:rsidRPr="003269B4">
        <w:rPr>
          <w:lang w:val="en-GB"/>
        </w:rPr>
      </w:r>
      <w:r w:rsidR="00B30509" w:rsidRPr="003269B4">
        <w:rPr>
          <w:lang w:val="en-GB"/>
        </w:rPr>
        <w:fldChar w:fldCharType="separate"/>
      </w:r>
    </w:p>
    <w:p w14:paraId="58C2E715" w14:textId="25A26332" w:rsidR="00913AD5" w:rsidRPr="003269B4" w:rsidRDefault="00725364" w:rsidP="000E54D9">
      <w:pPr>
        <w:rPr>
          <w:lang w:val="en-GB"/>
        </w:rPr>
      </w:pPr>
      <w:r w:rsidRPr="00725364">
        <w:rPr>
          <w:lang w:val="en-GB"/>
        </w:rPr>
        <w:t xml:space="preserve">Figure </w:t>
      </w:r>
      <w:r>
        <w:rPr>
          <w:noProof/>
        </w:rPr>
        <w:t>2</w:t>
      </w:r>
      <w:r w:rsidR="00B30509" w:rsidRPr="003269B4">
        <w:rPr>
          <w:lang w:val="en-GB"/>
        </w:rPr>
        <w:fldChar w:fldCharType="end"/>
      </w:r>
      <w:r w:rsidR="00B30509" w:rsidRPr="003269B4">
        <w:rPr>
          <w:lang w:val="en-GB"/>
        </w:rPr>
        <w:t>)</w:t>
      </w:r>
      <w:r w:rsidR="00913AD5" w:rsidRPr="003269B4">
        <w:rPr>
          <w:lang w:val="en-GB"/>
        </w:rPr>
        <w:t xml:space="preserve">. </w:t>
      </w:r>
    </w:p>
    <w:p w14:paraId="0EEA945A" w14:textId="74E21B7D" w:rsidR="00044AC1" w:rsidRPr="003269B4" w:rsidRDefault="004F10B3" w:rsidP="000E54D9">
      <w:pPr>
        <w:rPr>
          <w:lang w:val="en-GB"/>
        </w:rPr>
      </w:pPr>
      <w:r w:rsidRPr="003269B4">
        <w:rPr>
          <w:lang w:val="en-GB"/>
        </w:rPr>
        <w:t xml:space="preserve">The dynamic indication has the flexibility advantage as the </w:t>
      </w:r>
      <w:proofErr w:type="spellStart"/>
      <w:r w:rsidRPr="003269B4">
        <w:rPr>
          <w:lang w:val="en-GB"/>
        </w:rPr>
        <w:t>gNB</w:t>
      </w:r>
      <w:proofErr w:type="spellEnd"/>
      <w:r w:rsidRPr="003269B4">
        <w:rPr>
          <w:lang w:val="en-GB"/>
        </w:rPr>
        <w:t xml:space="preserve"> c</w:t>
      </w:r>
      <w:r w:rsidR="004A3DC7" w:rsidRPr="003269B4">
        <w:rPr>
          <w:lang w:val="en-GB"/>
        </w:rPr>
        <w:t xml:space="preserve">an </w:t>
      </w:r>
      <w:r w:rsidRPr="003269B4">
        <w:rPr>
          <w:lang w:val="en-GB"/>
        </w:rPr>
        <w:t xml:space="preserve">change the PUCCH carrier </w:t>
      </w:r>
      <w:r w:rsidR="004A3DC7" w:rsidRPr="003269B4">
        <w:rPr>
          <w:lang w:val="en-GB"/>
        </w:rPr>
        <w:t xml:space="preserve">dynamically </w:t>
      </w:r>
      <w:r w:rsidRPr="003269B4">
        <w:rPr>
          <w:lang w:val="en-GB"/>
        </w:rPr>
        <w:t>and select the most suitable carrier as needed</w:t>
      </w:r>
      <w:r w:rsidR="004A3DC7" w:rsidRPr="003269B4">
        <w:rPr>
          <w:lang w:val="en-GB"/>
        </w:rPr>
        <w:t xml:space="preserve"> especially if UL opportunities are available on multiple carriers</w:t>
      </w:r>
      <w:r w:rsidRPr="003269B4">
        <w:rPr>
          <w:lang w:val="en-GB"/>
        </w:rPr>
        <w:t xml:space="preserve">. </w:t>
      </w:r>
      <w:r w:rsidR="004A3DC7" w:rsidRPr="003269B4">
        <w:rPr>
          <w:lang w:val="en-GB"/>
        </w:rPr>
        <w:t>Also the dynamic indication allows for better load balancing by</w:t>
      </w:r>
      <w:r w:rsidR="00721E6E" w:rsidRPr="003269B4">
        <w:rPr>
          <w:lang w:val="en-GB"/>
        </w:rPr>
        <w:t xml:space="preserve"> dynamically</w:t>
      </w:r>
      <w:r w:rsidR="004A3DC7" w:rsidRPr="003269B4">
        <w:rPr>
          <w:lang w:val="en-GB"/>
        </w:rPr>
        <w:t xml:space="preserve"> controlling the PUCCH feedback load across the carriers in the PUCCH group and a frequency selectivity gain by selecting the carrier with the best radio conditions.</w:t>
      </w:r>
      <w:r w:rsidR="00375A55" w:rsidRPr="003269B4">
        <w:rPr>
          <w:lang w:val="en-GB"/>
        </w:rPr>
        <w:t xml:space="preserve"> The dynamic indication is also very useful to help address many of the multiplexing issues. For example, if a PUSCH is overlapping with the PUCCH resources</w:t>
      </w:r>
      <w:r w:rsidR="00E50D4D" w:rsidRPr="003269B4">
        <w:rPr>
          <w:lang w:val="en-GB"/>
        </w:rPr>
        <w:t xml:space="preserve"> on a specific carrier</w:t>
      </w:r>
      <w:r w:rsidR="00375A55" w:rsidRPr="003269B4">
        <w:rPr>
          <w:lang w:val="en-GB"/>
        </w:rPr>
        <w:t xml:space="preserve">, the </w:t>
      </w:r>
      <w:proofErr w:type="spellStart"/>
      <w:r w:rsidR="00375A55" w:rsidRPr="003269B4">
        <w:rPr>
          <w:lang w:val="en-GB"/>
        </w:rPr>
        <w:t>gNB</w:t>
      </w:r>
      <w:proofErr w:type="spellEnd"/>
      <w:r w:rsidR="00375A55" w:rsidRPr="003269B4">
        <w:rPr>
          <w:lang w:val="en-GB"/>
        </w:rPr>
        <w:t xml:space="preserve"> have the option to </w:t>
      </w:r>
      <w:r w:rsidR="003C4FC9" w:rsidRPr="003269B4">
        <w:rPr>
          <w:lang w:val="en-GB"/>
        </w:rPr>
        <w:t>switch</w:t>
      </w:r>
      <w:r w:rsidR="00375A55" w:rsidRPr="003269B4">
        <w:rPr>
          <w:lang w:val="en-GB"/>
        </w:rPr>
        <w:t xml:space="preserve"> the PUCCH to another carrier to avoid dropping a LP-PUSCH or multiplexing with </w:t>
      </w:r>
      <w:r w:rsidR="003C4FC9" w:rsidRPr="003269B4">
        <w:rPr>
          <w:lang w:val="en-GB"/>
        </w:rPr>
        <w:t xml:space="preserve">a </w:t>
      </w:r>
      <w:r w:rsidR="00375A55" w:rsidRPr="003269B4">
        <w:rPr>
          <w:lang w:val="en-GB"/>
        </w:rPr>
        <w:t xml:space="preserve">HP-PUSCH which can compromise the reliability of both PUSCH and PUCCH. </w:t>
      </w:r>
      <w:r w:rsidR="00394CA6" w:rsidRPr="003269B4">
        <w:rPr>
          <w:lang w:val="en-GB"/>
        </w:rPr>
        <w:t xml:space="preserve"> The dynamic indication comes however with the DCI overhead cost as a new bit-field is required to</w:t>
      </w:r>
      <w:r w:rsidR="003C4FC9" w:rsidRPr="003269B4">
        <w:rPr>
          <w:lang w:val="en-GB"/>
        </w:rPr>
        <w:t xml:space="preserve"> be included in the DCI to</w:t>
      </w:r>
      <w:r w:rsidR="00394CA6" w:rsidRPr="003269B4">
        <w:rPr>
          <w:lang w:val="en-GB"/>
        </w:rPr>
        <w:t xml:space="preserve"> indicate the </w:t>
      </w:r>
      <w:r w:rsidR="00DE6E29" w:rsidRPr="003269B4">
        <w:rPr>
          <w:lang w:val="en-GB"/>
        </w:rPr>
        <w:t xml:space="preserve">new </w:t>
      </w:r>
      <w:r w:rsidR="00394CA6" w:rsidRPr="003269B4">
        <w:rPr>
          <w:lang w:val="en-GB"/>
        </w:rPr>
        <w:t xml:space="preserve">PUCCH carrier. </w:t>
      </w:r>
    </w:p>
    <w:p w14:paraId="584A04F4" w14:textId="77777777" w:rsidR="00044AC1" w:rsidRPr="003269B4" w:rsidRDefault="00044AC1" w:rsidP="000E54D9">
      <w:pPr>
        <w:rPr>
          <w:lang w:val="en-GB"/>
        </w:rPr>
      </w:pPr>
    </w:p>
    <w:p w14:paraId="234D8F65" w14:textId="4F129F25" w:rsidR="002274E1" w:rsidRPr="003269B4" w:rsidRDefault="002274E1" w:rsidP="000E54D9">
      <w:pPr>
        <w:rPr>
          <w:lang w:val="en-GB"/>
        </w:rPr>
      </w:pPr>
      <w:r w:rsidRPr="003269B4">
        <w:rPr>
          <w:lang w:val="en-GB"/>
        </w:rPr>
        <w:t xml:space="preserve">The semi-static PUCCH cell timing pattern has less overhead and requires </w:t>
      </w:r>
      <w:r w:rsidR="00DE6E29" w:rsidRPr="003269B4">
        <w:rPr>
          <w:lang w:val="en-GB"/>
        </w:rPr>
        <w:t xml:space="preserve">just </w:t>
      </w:r>
      <w:r w:rsidRPr="003269B4">
        <w:rPr>
          <w:lang w:val="en-GB"/>
        </w:rPr>
        <w:t xml:space="preserve">an RRC </w:t>
      </w:r>
      <w:r w:rsidR="00997E95" w:rsidRPr="003269B4">
        <w:rPr>
          <w:lang w:val="en-GB"/>
        </w:rPr>
        <w:t>configuration</w:t>
      </w:r>
      <w:r w:rsidRPr="003269B4">
        <w:rPr>
          <w:lang w:val="en-GB"/>
        </w:rPr>
        <w:t xml:space="preserve"> </w:t>
      </w:r>
      <w:r w:rsidR="00DE6E29" w:rsidRPr="003269B4">
        <w:rPr>
          <w:lang w:val="en-GB"/>
        </w:rPr>
        <w:t xml:space="preserve">of the PUCCH cell timing pattern.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6"/>
        <w:gridCol w:w="4634"/>
      </w:tblGrid>
      <w:tr w:rsidR="00333443" w:rsidRPr="003269B4" w14:paraId="392F31A6" w14:textId="77777777" w:rsidTr="00333443">
        <w:tc>
          <w:tcPr>
            <w:tcW w:w="4675" w:type="dxa"/>
          </w:tcPr>
          <w:p w14:paraId="2FBE95E0" w14:textId="77777777" w:rsidR="00333443" w:rsidRPr="003269B4" w:rsidRDefault="00333443" w:rsidP="00881CF3">
            <w:pPr>
              <w:keepNext/>
              <w:jc w:val="center"/>
            </w:pPr>
            <w:r w:rsidRPr="003269B4">
              <w:rPr>
                <w:noProof/>
                <w:lang w:val="en-GB" w:eastAsia="zh-CN"/>
              </w:rPr>
              <w:drawing>
                <wp:inline distT="0" distB="0" distL="0" distR="0" wp14:anchorId="39611833" wp14:editId="5E244A71">
                  <wp:extent cx="2984740" cy="2718029"/>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89582" cy="2722438"/>
                          </a:xfrm>
                          <a:prstGeom prst="rect">
                            <a:avLst/>
                          </a:prstGeom>
                          <a:noFill/>
                        </pic:spPr>
                      </pic:pic>
                    </a:graphicData>
                  </a:graphic>
                </wp:inline>
              </w:drawing>
            </w:r>
          </w:p>
          <w:p w14:paraId="3D8884F2" w14:textId="77777777" w:rsidR="00333443" w:rsidRPr="003269B4" w:rsidRDefault="00333443" w:rsidP="00881CF3">
            <w:pPr>
              <w:pStyle w:val="Caption"/>
              <w:jc w:val="center"/>
            </w:pPr>
            <w:bookmarkStart w:id="2" w:name="_Ref77776831"/>
            <w:r w:rsidRPr="003269B4">
              <w:t xml:space="preserve">Figure </w:t>
            </w:r>
            <w:fldSimple w:instr=" SEQ Figure \* ARABIC ">
              <w:r w:rsidR="00725364">
                <w:rPr>
                  <w:noProof/>
                </w:rPr>
                <w:t>1</w:t>
              </w:r>
            </w:fldSimple>
            <w:bookmarkEnd w:id="2"/>
            <w:r w:rsidRPr="003269B4">
              <w:t>:  Dynamic indication in DCI scheduling a PUCCH</w:t>
            </w:r>
          </w:p>
          <w:p w14:paraId="3093D0AF" w14:textId="77777777" w:rsidR="00333443" w:rsidRPr="003269B4" w:rsidRDefault="00333443" w:rsidP="00881CF3">
            <w:pPr>
              <w:jc w:val="center"/>
            </w:pPr>
          </w:p>
        </w:tc>
        <w:tc>
          <w:tcPr>
            <w:tcW w:w="4675" w:type="dxa"/>
          </w:tcPr>
          <w:p w14:paraId="29574C15" w14:textId="77777777" w:rsidR="00333443" w:rsidRPr="003269B4" w:rsidRDefault="00333443" w:rsidP="00881CF3">
            <w:pPr>
              <w:keepNext/>
              <w:jc w:val="center"/>
              <w:rPr>
                <w:noProof/>
                <w:lang w:val="en-GB" w:eastAsia="zh-CN"/>
              </w:rPr>
            </w:pPr>
          </w:p>
          <w:p w14:paraId="6A0DB7AE" w14:textId="77777777" w:rsidR="00333443" w:rsidRPr="003269B4" w:rsidRDefault="00333443" w:rsidP="00881CF3">
            <w:pPr>
              <w:keepNext/>
              <w:jc w:val="center"/>
              <w:rPr>
                <w:noProof/>
                <w:lang w:val="en-GB" w:eastAsia="zh-CN"/>
              </w:rPr>
            </w:pPr>
          </w:p>
          <w:p w14:paraId="02F82161" w14:textId="77777777" w:rsidR="00333443" w:rsidRPr="003269B4" w:rsidRDefault="00333443" w:rsidP="00881CF3">
            <w:pPr>
              <w:keepNext/>
              <w:jc w:val="center"/>
            </w:pPr>
            <w:r w:rsidRPr="003269B4">
              <w:rPr>
                <w:noProof/>
                <w:lang w:val="en-GB" w:eastAsia="zh-CN"/>
              </w:rPr>
              <w:drawing>
                <wp:inline distT="0" distB="0" distL="0" distR="0" wp14:anchorId="255FF96C" wp14:editId="5ED756C3">
                  <wp:extent cx="2924355" cy="2293991"/>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2825" cy="2300635"/>
                          </a:xfrm>
                          <a:prstGeom prst="rect">
                            <a:avLst/>
                          </a:prstGeom>
                          <a:noFill/>
                        </pic:spPr>
                      </pic:pic>
                    </a:graphicData>
                  </a:graphic>
                </wp:inline>
              </w:drawing>
            </w:r>
          </w:p>
          <w:p w14:paraId="2B4C8546" w14:textId="77777777" w:rsidR="00333443" w:rsidRPr="003269B4" w:rsidRDefault="00333443" w:rsidP="00881CF3">
            <w:pPr>
              <w:pStyle w:val="Caption"/>
              <w:jc w:val="center"/>
            </w:pPr>
            <w:bookmarkStart w:id="3" w:name="_Ref77776849"/>
          </w:p>
          <w:p w14:paraId="042548A1" w14:textId="77777777" w:rsidR="00333443" w:rsidRPr="003269B4" w:rsidRDefault="00333443" w:rsidP="00881CF3">
            <w:pPr>
              <w:pStyle w:val="Caption"/>
              <w:jc w:val="center"/>
              <w:rPr>
                <w:lang w:val="en-GB"/>
              </w:rPr>
            </w:pPr>
            <w:r w:rsidRPr="003269B4">
              <w:t xml:space="preserve">Figure </w:t>
            </w:r>
            <w:fldSimple w:instr=" SEQ Figure \* ARABIC ">
              <w:r w:rsidR="00725364">
                <w:rPr>
                  <w:noProof/>
                </w:rPr>
                <w:t>2</w:t>
              </w:r>
            </w:fldSimple>
            <w:bookmarkEnd w:id="3"/>
            <w:r w:rsidRPr="003269B4">
              <w:t>: Semi-static PUCCH cell timing pattern</w:t>
            </w:r>
          </w:p>
          <w:p w14:paraId="31B99FAB" w14:textId="77777777" w:rsidR="00333443" w:rsidRPr="003269B4" w:rsidRDefault="00333443" w:rsidP="00881CF3">
            <w:pPr>
              <w:jc w:val="center"/>
              <w:rPr>
                <w:lang w:val="en-GB"/>
              </w:rPr>
            </w:pPr>
          </w:p>
        </w:tc>
      </w:tr>
    </w:tbl>
    <w:p w14:paraId="179450D7" w14:textId="77777777" w:rsidR="006B366F" w:rsidRPr="003269B4" w:rsidRDefault="006B366F" w:rsidP="000E54D9">
      <w:pPr>
        <w:rPr>
          <w:lang w:val="en-GB"/>
        </w:rPr>
      </w:pPr>
    </w:p>
    <w:p w14:paraId="1624DAA4" w14:textId="469453C3" w:rsidR="006B366F" w:rsidRPr="003269B4" w:rsidRDefault="006B366F" w:rsidP="006B366F">
      <w:pPr>
        <w:jc w:val="both"/>
      </w:pPr>
      <w:r w:rsidRPr="003269B4">
        <w:t>Multiple remaining issues are still to be addressed under this topic:</w:t>
      </w:r>
    </w:p>
    <w:p w14:paraId="1303DC3D" w14:textId="77777777" w:rsidR="006B366F" w:rsidRPr="003269B4" w:rsidRDefault="006B366F" w:rsidP="00DD4BC1">
      <w:pPr>
        <w:jc w:val="both"/>
      </w:pPr>
    </w:p>
    <w:p w14:paraId="435E297F" w14:textId="1B0F2C2D" w:rsidR="006B366F" w:rsidRPr="003269B4" w:rsidRDefault="006B366F" w:rsidP="008E1395">
      <w:pPr>
        <w:pStyle w:val="ListParagraph"/>
        <w:numPr>
          <w:ilvl w:val="0"/>
          <w:numId w:val="6"/>
        </w:numPr>
        <w:jc w:val="both"/>
        <w:rPr>
          <w:rFonts w:eastAsia="PMingLiU" w:cs="Times New Roman"/>
          <w:b/>
          <w:lang w:val="en-GB"/>
        </w:rPr>
      </w:pPr>
      <w:r w:rsidRPr="003269B4">
        <w:rPr>
          <w:rFonts w:eastAsia="PMingLiU" w:cs="Times New Roman"/>
          <w:b/>
          <w:lang w:val="en-GB"/>
        </w:rPr>
        <w:t>Applicability of dynamic and pattern-based options:</w:t>
      </w:r>
    </w:p>
    <w:p w14:paraId="6DCB3BFA" w14:textId="30D4DA9F" w:rsidR="00E0248F" w:rsidRPr="003269B4" w:rsidRDefault="00B70EC8" w:rsidP="00DD4BC1">
      <w:pPr>
        <w:jc w:val="both"/>
        <w:rPr>
          <w:lang w:val="en-GB"/>
        </w:rPr>
      </w:pPr>
      <w:r w:rsidRPr="003269B4">
        <w:rPr>
          <w:lang w:val="en-GB"/>
        </w:rPr>
        <w:t>During the previous meeting</w:t>
      </w:r>
      <w:r w:rsidR="00325043">
        <w:rPr>
          <w:lang w:val="en-GB"/>
        </w:rPr>
        <w:t>s</w:t>
      </w:r>
      <w:r w:rsidRPr="003269B4">
        <w:rPr>
          <w:lang w:val="en-GB"/>
        </w:rPr>
        <w:t xml:space="preserve">, some companies suggested to have one of the two schemes above as </w:t>
      </w:r>
      <w:r w:rsidR="00DD4BC1" w:rsidRPr="003269B4">
        <w:rPr>
          <w:lang w:val="en-GB"/>
        </w:rPr>
        <w:t xml:space="preserve">a </w:t>
      </w:r>
      <w:r w:rsidRPr="003269B4">
        <w:rPr>
          <w:lang w:val="en-GB"/>
        </w:rPr>
        <w:t>baseline.</w:t>
      </w:r>
      <w:r w:rsidR="00325043">
        <w:rPr>
          <w:lang w:val="en-GB"/>
        </w:rPr>
        <w:t xml:space="preserve"> For example, the </w:t>
      </w:r>
      <w:r w:rsidR="00DD4BC1" w:rsidRPr="003269B4">
        <w:t xml:space="preserve">dynamic indication is the baseline and if a dynamic indication of a PUCCH carrier is not available, the UE applies the RRC configured time-domain pattern to determine the PUCCH </w:t>
      </w:r>
      <w:r w:rsidR="00DD4BC1" w:rsidRPr="003269B4">
        <w:lastRenderedPageBreak/>
        <w:t xml:space="preserve">cell. Some other companies suggested to have the </w:t>
      </w:r>
      <w:r w:rsidR="008E79E4" w:rsidRPr="003269B4">
        <w:rPr>
          <w:lang w:val="en-GB"/>
        </w:rPr>
        <w:t>RRC configured time pattern applied to both</w:t>
      </w:r>
      <w:r w:rsidR="00DD4BC1" w:rsidRPr="003269B4">
        <w:rPr>
          <w:lang w:val="en-GB"/>
        </w:rPr>
        <w:t xml:space="preserve"> configured and scheduled PUCCH.</w:t>
      </w:r>
      <w:r w:rsidR="006B366F" w:rsidRPr="003269B4">
        <w:rPr>
          <w:lang w:val="en-GB"/>
        </w:rPr>
        <w:t xml:space="preserve"> Also some other companies proposed to use the semi-static pattern as the </w:t>
      </w:r>
      <w:r w:rsidR="00E90DD8">
        <w:rPr>
          <w:lang w:val="en-GB"/>
        </w:rPr>
        <w:t>b</w:t>
      </w:r>
      <w:r w:rsidR="006B366F" w:rsidRPr="003269B4">
        <w:rPr>
          <w:lang w:val="en-GB"/>
        </w:rPr>
        <w:t xml:space="preserve">aseline and the dynamic indication if the semi-static is not available. </w:t>
      </w:r>
    </w:p>
    <w:p w14:paraId="1CB99CCC" w14:textId="36D8C978" w:rsidR="00DD4BC1" w:rsidRPr="003269B4" w:rsidRDefault="00DD4BC1" w:rsidP="000E54D9">
      <w:r w:rsidRPr="003269B4">
        <w:t xml:space="preserve"> </w:t>
      </w:r>
    </w:p>
    <w:p w14:paraId="59A01C08" w14:textId="77777777" w:rsidR="00DD4BC1" w:rsidRPr="003269B4" w:rsidRDefault="00DD4BC1" w:rsidP="000E54D9">
      <w:pPr>
        <w:rPr>
          <w:lang w:val="en-GB"/>
        </w:rPr>
      </w:pPr>
    </w:p>
    <w:p w14:paraId="42625358" w14:textId="7C5CACED" w:rsidR="00B70EC8" w:rsidRPr="003269B4" w:rsidRDefault="00B70EC8" w:rsidP="000E54D9">
      <w:pPr>
        <w:rPr>
          <w:lang w:val="en-GB"/>
        </w:rPr>
      </w:pPr>
      <w:r w:rsidRPr="003269B4">
        <w:rPr>
          <w:lang w:val="en-GB"/>
        </w:rPr>
        <w:t xml:space="preserve">We think that the dynamic PUCCH carrier switching is suitable for the scheduled PUCCH and the semi-static PUCCH cell timing pattern is more suitable for configured PUCCH (SPS HARQ-ACK feedback). </w:t>
      </w:r>
    </w:p>
    <w:p w14:paraId="6BCDD23D" w14:textId="77777777" w:rsidR="00B70EC8" w:rsidRPr="003269B4" w:rsidRDefault="00B70EC8" w:rsidP="000E54D9">
      <w:pPr>
        <w:rPr>
          <w:lang w:val="en-GB"/>
        </w:rPr>
      </w:pPr>
    </w:p>
    <w:p w14:paraId="46643571" w14:textId="77777777" w:rsidR="00E221B3" w:rsidRPr="003269B4" w:rsidRDefault="00E221B3" w:rsidP="00E221B3">
      <w:pPr>
        <w:jc w:val="both"/>
        <w:rPr>
          <w:sz w:val="24"/>
        </w:rPr>
      </w:pPr>
    </w:p>
    <w:p w14:paraId="0D630399" w14:textId="537A27D6" w:rsidR="00E221B3" w:rsidRPr="003269B4" w:rsidRDefault="00D93A85" w:rsidP="00E221B3">
      <w:pPr>
        <w:pStyle w:val="ListParagraph"/>
        <w:numPr>
          <w:ilvl w:val="0"/>
          <w:numId w:val="3"/>
        </w:numPr>
        <w:spacing w:after="0" w:line="240" w:lineRule="auto"/>
        <w:contextualSpacing w:val="0"/>
        <w:jc w:val="both"/>
        <w:rPr>
          <w:rFonts w:ascii="Times New Roman" w:eastAsia="PMingLiU" w:hAnsi="Times New Roman" w:cs="Times New Roman"/>
          <w:b/>
          <w:i/>
          <w:szCs w:val="20"/>
          <w:lang w:val="en-GB"/>
        </w:rPr>
      </w:pPr>
      <w:r w:rsidRPr="003269B4">
        <w:rPr>
          <w:rFonts w:ascii="Times New Roman" w:eastAsia="PMingLiU" w:hAnsi="Times New Roman" w:cs="Times New Roman"/>
          <w:b/>
          <w:i/>
          <w:szCs w:val="20"/>
          <w:lang w:val="en-GB"/>
        </w:rPr>
        <w:t xml:space="preserve">Support </w:t>
      </w:r>
      <w:r w:rsidR="009B3007" w:rsidRPr="003269B4">
        <w:rPr>
          <w:rFonts w:ascii="Times New Roman" w:eastAsia="PMingLiU" w:hAnsi="Times New Roman" w:cs="Times New Roman"/>
          <w:b/>
          <w:i/>
          <w:szCs w:val="20"/>
          <w:lang w:val="en-GB"/>
        </w:rPr>
        <w:t xml:space="preserve">the </w:t>
      </w:r>
      <w:r w:rsidRPr="003269B4">
        <w:rPr>
          <w:rFonts w:ascii="Times New Roman" w:eastAsia="PMingLiU" w:hAnsi="Times New Roman" w:cs="Times New Roman"/>
          <w:b/>
          <w:i/>
          <w:szCs w:val="20"/>
          <w:lang w:val="en-GB"/>
        </w:rPr>
        <w:t>d</w:t>
      </w:r>
      <w:r w:rsidR="00236F48" w:rsidRPr="003269B4">
        <w:rPr>
          <w:rFonts w:ascii="Times New Roman" w:eastAsia="PMingLiU" w:hAnsi="Times New Roman" w:cs="Times New Roman"/>
          <w:b/>
          <w:i/>
          <w:szCs w:val="20"/>
          <w:lang w:val="en-GB"/>
        </w:rPr>
        <w:t>ynamic PUCCH carrier s</w:t>
      </w:r>
      <w:r w:rsidR="00E221B3" w:rsidRPr="003269B4">
        <w:rPr>
          <w:rFonts w:ascii="Times New Roman" w:eastAsia="PMingLiU" w:hAnsi="Times New Roman" w:cs="Times New Roman"/>
          <w:b/>
          <w:i/>
          <w:szCs w:val="20"/>
          <w:lang w:val="en-GB"/>
        </w:rPr>
        <w:t xml:space="preserve">witching for scheduled PUCCH and support </w:t>
      </w:r>
      <w:r w:rsidR="009B3007" w:rsidRPr="003269B4">
        <w:rPr>
          <w:rFonts w:ascii="Times New Roman" w:eastAsia="PMingLiU" w:hAnsi="Times New Roman" w:cs="Times New Roman"/>
          <w:b/>
          <w:i/>
          <w:szCs w:val="20"/>
          <w:lang w:val="en-GB"/>
        </w:rPr>
        <w:t xml:space="preserve">the </w:t>
      </w:r>
      <w:r w:rsidR="00E221B3" w:rsidRPr="003269B4">
        <w:rPr>
          <w:rFonts w:ascii="Times New Roman" w:eastAsia="PMingLiU" w:hAnsi="Times New Roman" w:cs="Times New Roman"/>
          <w:b/>
          <w:i/>
          <w:szCs w:val="20"/>
          <w:lang w:val="en-GB"/>
        </w:rPr>
        <w:t>semi-static PUCCH cell timing pattern for configured SPS HARQ-ACK PUCCH.</w:t>
      </w:r>
    </w:p>
    <w:p w14:paraId="479A66EE" w14:textId="77777777" w:rsidR="00044AC1" w:rsidRDefault="00044AC1" w:rsidP="000E54D9">
      <w:pPr>
        <w:rPr>
          <w:lang w:val="en-GB"/>
        </w:rPr>
      </w:pPr>
    </w:p>
    <w:p w14:paraId="4D512C51" w14:textId="77777777" w:rsidR="00725364" w:rsidRPr="003269B4" w:rsidRDefault="00725364" w:rsidP="000E54D9">
      <w:pPr>
        <w:rPr>
          <w:lang w:val="en-GB"/>
        </w:rPr>
      </w:pPr>
    </w:p>
    <w:p w14:paraId="096B8DE2" w14:textId="77777777" w:rsidR="00044AC1" w:rsidRPr="003269B4" w:rsidRDefault="00044AC1" w:rsidP="000E54D9">
      <w:pPr>
        <w:rPr>
          <w:lang w:val="en-GB"/>
        </w:rPr>
      </w:pPr>
    </w:p>
    <w:p w14:paraId="3BE70B0F" w14:textId="57238289" w:rsidR="006B366F" w:rsidRPr="003269B4" w:rsidRDefault="006B366F" w:rsidP="008E1395">
      <w:pPr>
        <w:pStyle w:val="ListParagraph"/>
        <w:numPr>
          <w:ilvl w:val="0"/>
          <w:numId w:val="6"/>
        </w:numPr>
        <w:jc w:val="both"/>
        <w:rPr>
          <w:rFonts w:eastAsia="PMingLiU" w:cs="Times New Roman"/>
          <w:b/>
          <w:lang w:val="en-GB"/>
        </w:rPr>
      </w:pPr>
      <w:r w:rsidRPr="003269B4">
        <w:rPr>
          <w:rFonts w:eastAsia="PMingLiU" w:cs="Times New Roman"/>
          <w:b/>
          <w:lang w:val="en-GB"/>
        </w:rPr>
        <w:t>Dynamic indication in the triggering DCI</w:t>
      </w:r>
    </w:p>
    <w:p w14:paraId="7E2ECD45" w14:textId="455A62DD" w:rsidR="00044AC1" w:rsidRPr="003269B4" w:rsidRDefault="006B366F" w:rsidP="000E54D9">
      <w:pPr>
        <w:rPr>
          <w:lang w:val="en-GB"/>
        </w:rPr>
      </w:pPr>
      <w:r w:rsidRPr="003269B4">
        <w:rPr>
          <w:lang w:val="en-GB"/>
        </w:rPr>
        <w:t>We support including a new DCI field for the carrier switching indication</w:t>
      </w:r>
      <w:r w:rsidR="00881CF3" w:rsidRPr="003269B4">
        <w:rPr>
          <w:lang w:val="en-GB"/>
        </w:rPr>
        <w:t xml:space="preserve"> for the dynamic PUCCH carrier switching</w:t>
      </w:r>
      <w:r w:rsidRPr="003269B4">
        <w:rPr>
          <w:lang w:val="en-GB"/>
        </w:rPr>
        <w:t>. It is the simplest and the most flexible option.</w:t>
      </w:r>
      <w:r w:rsidR="005C0B0C" w:rsidRPr="003269B4">
        <w:rPr>
          <w:lang w:val="en-GB"/>
        </w:rPr>
        <w:t xml:space="preserve"> </w:t>
      </w:r>
      <w:r w:rsidR="00950B61" w:rsidRPr="003269B4">
        <w:rPr>
          <w:lang w:val="en-GB"/>
        </w:rPr>
        <w:t>Also it follows the same design principle of cross-carrier scheduling</w:t>
      </w:r>
      <w:r w:rsidR="005C0B0C" w:rsidRPr="003269B4">
        <w:rPr>
          <w:lang w:val="en-GB"/>
        </w:rPr>
        <w:t>. Hence,</w:t>
      </w:r>
      <w:r w:rsidR="00950B61" w:rsidRPr="003269B4">
        <w:rPr>
          <w:lang w:val="en-GB"/>
        </w:rPr>
        <w:t xml:space="preserve"> we need to add a new field similar to the CIF Carrier Indicator Field existing already for cross carrier PDSCH and PUSCH scheduling.</w:t>
      </w:r>
    </w:p>
    <w:p w14:paraId="6ADF1557" w14:textId="77777777" w:rsidR="00950B61" w:rsidRPr="003269B4" w:rsidRDefault="00950B61" w:rsidP="000E54D9">
      <w:pPr>
        <w:rPr>
          <w:lang w:val="en-GB"/>
        </w:rPr>
      </w:pPr>
    </w:p>
    <w:p w14:paraId="13192CFE" w14:textId="6330C6F7" w:rsidR="00950B61" w:rsidRPr="003269B4" w:rsidRDefault="00950B61" w:rsidP="00950B61">
      <w:pPr>
        <w:jc w:val="both"/>
        <w:rPr>
          <w:lang w:val="en-GB"/>
        </w:rPr>
      </w:pPr>
      <w:r w:rsidRPr="003269B4">
        <w:rPr>
          <w:lang w:val="en-GB"/>
        </w:rPr>
        <w:t xml:space="preserve">The option of re-using </w:t>
      </w:r>
      <w:r w:rsidR="008E79E4" w:rsidRPr="003269B4">
        <w:rPr>
          <w:lang w:val="en-GB"/>
        </w:rPr>
        <w:t>the existing 3-bit PRI field</w:t>
      </w:r>
      <w:r w:rsidRPr="003269B4">
        <w:rPr>
          <w:lang w:val="en-GB"/>
        </w:rPr>
        <w:t xml:space="preserve"> is very</w:t>
      </w:r>
      <w:r w:rsidR="008E79E4" w:rsidRPr="003269B4">
        <w:rPr>
          <w:lang w:val="en-GB"/>
        </w:rPr>
        <w:t xml:space="preserve"> </w:t>
      </w:r>
      <w:r w:rsidRPr="003269B4">
        <w:rPr>
          <w:lang w:val="en-GB"/>
        </w:rPr>
        <w:t xml:space="preserve">restrictive because it means only 8 states in total for both PRI and carrier selection. We don’t think the PRI + Carrier indication can be optimized together with the different PUCCH resources on each carrier.  </w:t>
      </w:r>
    </w:p>
    <w:p w14:paraId="0B428C9D" w14:textId="77777777" w:rsidR="00950B61" w:rsidRPr="003269B4" w:rsidRDefault="00950B61" w:rsidP="000E54D9">
      <w:pPr>
        <w:rPr>
          <w:lang w:val="en-GB"/>
        </w:rPr>
      </w:pPr>
    </w:p>
    <w:p w14:paraId="7783889B" w14:textId="267C6C2D" w:rsidR="007C11C6" w:rsidRPr="003269B4" w:rsidRDefault="005C0B0C" w:rsidP="00A3449F">
      <w:pPr>
        <w:jc w:val="both"/>
        <w:rPr>
          <w:lang w:val="en-GB"/>
        </w:rPr>
      </w:pPr>
      <w:r w:rsidRPr="003269B4">
        <w:rPr>
          <w:lang w:val="en-GB"/>
        </w:rPr>
        <w:t xml:space="preserve">The option of extending the PRI bit-field is not very clear and the gain of this option compared to introducing a new DCI bit-field is not very clear. </w:t>
      </w:r>
    </w:p>
    <w:p w14:paraId="2F29B876" w14:textId="77777777" w:rsidR="005C0B0C" w:rsidRPr="003269B4" w:rsidRDefault="005C0B0C" w:rsidP="005C0B0C">
      <w:pPr>
        <w:jc w:val="both"/>
        <w:rPr>
          <w:sz w:val="24"/>
        </w:rPr>
      </w:pPr>
    </w:p>
    <w:p w14:paraId="4036683F" w14:textId="77777777" w:rsidR="00E0248F" w:rsidRPr="003269B4" w:rsidRDefault="005C0B0C" w:rsidP="003816AC">
      <w:pPr>
        <w:pStyle w:val="ListParagraph"/>
        <w:numPr>
          <w:ilvl w:val="0"/>
          <w:numId w:val="3"/>
        </w:numPr>
        <w:spacing w:after="0" w:line="240" w:lineRule="auto"/>
        <w:contextualSpacing w:val="0"/>
        <w:jc w:val="both"/>
        <w:rPr>
          <w:rFonts w:ascii="Times New Roman" w:eastAsia="PMingLiU" w:hAnsi="Times New Roman" w:cs="Times New Roman"/>
          <w:b/>
          <w:bCs/>
          <w:i/>
          <w:szCs w:val="20"/>
          <w:lang w:val="en-GB"/>
        </w:rPr>
      </w:pPr>
      <w:r w:rsidRPr="003269B4">
        <w:rPr>
          <w:rFonts w:ascii="Times New Roman" w:eastAsia="PMingLiU" w:hAnsi="Times New Roman" w:cs="Times New Roman"/>
          <w:b/>
          <w:i/>
          <w:szCs w:val="20"/>
          <w:lang w:val="en-GB"/>
        </w:rPr>
        <w:t xml:space="preserve">Support </w:t>
      </w:r>
      <w:r w:rsidR="003816AC" w:rsidRPr="003269B4">
        <w:rPr>
          <w:rFonts w:ascii="Times New Roman" w:eastAsia="PMingLiU" w:hAnsi="Times New Roman" w:cs="Times New Roman"/>
          <w:b/>
          <w:i/>
          <w:szCs w:val="20"/>
          <w:lang w:val="en-GB"/>
        </w:rPr>
        <w:t>of</w:t>
      </w:r>
      <w:r w:rsidRPr="003269B4">
        <w:rPr>
          <w:rFonts w:ascii="Times New Roman" w:eastAsia="PMingLiU" w:hAnsi="Times New Roman" w:cs="Times New Roman"/>
          <w:b/>
          <w:i/>
          <w:szCs w:val="20"/>
          <w:lang w:val="en-GB"/>
        </w:rPr>
        <w:t xml:space="preserve"> the </w:t>
      </w:r>
      <w:r w:rsidR="003816AC" w:rsidRPr="003269B4">
        <w:rPr>
          <w:rFonts w:ascii="Times New Roman" w:eastAsia="PMingLiU" w:hAnsi="Times New Roman" w:cs="Times New Roman"/>
          <w:b/>
          <w:i/>
          <w:szCs w:val="20"/>
          <w:lang w:val="en-GB"/>
        </w:rPr>
        <w:t>dynamic</w:t>
      </w:r>
      <w:r w:rsidRPr="003269B4">
        <w:rPr>
          <w:rFonts w:ascii="Times New Roman" w:eastAsia="PMingLiU" w:hAnsi="Times New Roman" w:cs="Times New Roman"/>
          <w:b/>
          <w:bCs/>
          <w:i/>
          <w:szCs w:val="20"/>
          <w:lang w:val="en-US"/>
        </w:rPr>
        <w:t xml:space="preserve"> indication in the triggering DCI</w:t>
      </w:r>
      <w:r w:rsidR="003816AC" w:rsidRPr="003269B4">
        <w:rPr>
          <w:rFonts w:ascii="Times New Roman" w:eastAsia="PMingLiU" w:hAnsi="Times New Roman" w:cs="Times New Roman"/>
          <w:b/>
          <w:bCs/>
          <w:i/>
          <w:szCs w:val="20"/>
          <w:lang w:val="en-US"/>
        </w:rPr>
        <w:t xml:space="preserve"> by including </w:t>
      </w:r>
      <w:r w:rsidR="008E79E4" w:rsidRPr="003269B4">
        <w:rPr>
          <w:rFonts w:ascii="Times New Roman" w:eastAsia="PMingLiU" w:hAnsi="Times New Roman" w:cs="Times New Roman"/>
          <w:b/>
          <w:bCs/>
          <w:i/>
          <w:szCs w:val="20"/>
        </w:rPr>
        <w:t>a new DCI field for the carrier switching indication</w:t>
      </w:r>
    </w:p>
    <w:p w14:paraId="6E964115" w14:textId="25944E3B" w:rsidR="005C0B0C" w:rsidRPr="003269B4" w:rsidRDefault="005C0B0C" w:rsidP="003816AC">
      <w:pPr>
        <w:pStyle w:val="ListParagraph"/>
        <w:spacing w:after="0" w:line="240" w:lineRule="auto"/>
        <w:ind w:left="0"/>
        <w:contextualSpacing w:val="0"/>
        <w:jc w:val="both"/>
        <w:rPr>
          <w:rFonts w:ascii="Times New Roman" w:eastAsia="PMingLiU" w:hAnsi="Times New Roman" w:cs="Times New Roman"/>
          <w:b/>
          <w:i/>
          <w:szCs w:val="20"/>
          <w:lang w:val="en-GB"/>
        </w:rPr>
      </w:pPr>
    </w:p>
    <w:p w14:paraId="0E4EC07C" w14:textId="77777777" w:rsidR="005C0B0C" w:rsidRPr="003269B4" w:rsidRDefault="005C0B0C" w:rsidP="00A3449F">
      <w:pPr>
        <w:jc w:val="both"/>
        <w:rPr>
          <w:lang w:val="en-GB"/>
        </w:rPr>
      </w:pPr>
    </w:p>
    <w:p w14:paraId="7E3B091E" w14:textId="77777777" w:rsidR="005C0B0C" w:rsidRPr="003269B4" w:rsidRDefault="005C0B0C" w:rsidP="00A3449F">
      <w:pPr>
        <w:jc w:val="both"/>
      </w:pPr>
    </w:p>
    <w:p w14:paraId="7720E859" w14:textId="4082FDDB" w:rsidR="00DD4BC1" w:rsidRPr="003269B4" w:rsidRDefault="00881CF3" w:rsidP="008E1395">
      <w:pPr>
        <w:pStyle w:val="ListParagraph"/>
        <w:numPr>
          <w:ilvl w:val="0"/>
          <w:numId w:val="5"/>
        </w:numPr>
        <w:jc w:val="both"/>
        <w:rPr>
          <w:b/>
          <w:bCs/>
          <w:lang w:val="en-US"/>
        </w:rPr>
      </w:pPr>
      <w:r w:rsidRPr="003269B4">
        <w:rPr>
          <w:b/>
          <w:bCs/>
          <w:lang w:val="en-US"/>
        </w:rPr>
        <w:t xml:space="preserve">Reference Numerology for the </w:t>
      </w:r>
      <w:r w:rsidR="009D1E9C" w:rsidRPr="003269B4">
        <w:rPr>
          <w:b/>
          <w:bCs/>
          <w:lang w:val="en-US"/>
        </w:rPr>
        <w:t>PUCCH cell timing pattern</w:t>
      </w:r>
    </w:p>
    <w:p w14:paraId="5E8F082A" w14:textId="10F5454C" w:rsidR="00881CF3" w:rsidRPr="003269B4" w:rsidRDefault="00881CF3" w:rsidP="00881CF3">
      <w:pPr>
        <w:rPr>
          <w:lang w:val="en-GB"/>
        </w:rPr>
      </w:pPr>
      <w:r w:rsidRPr="003269B4">
        <w:rPr>
          <w:lang w:val="en-GB"/>
        </w:rPr>
        <w:t xml:space="preserve">In RAN1#105e </w:t>
      </w:r>
      <w:r w:rsidRPr="003269B4">
        <w:rPr>
          <w:lang w:val="en-GB"/>
        </w:rPr>
        <w:fldChar w:fldCharType="begin"/>
      </w:r>
      <w:r w:rsidRPr="003269B4">
        <w:rPr>
          <w:lang w:val="en-GB"/>
        </w:rPr>
        <w:instrText xml:space="preserve"> REF _Ref77769965 \r \h </w:instrText>
      </w:r>
      <w:r w:rsidR="00BC0821" w:rsidRPr="003269B4">
        <w:rPr>
          <w:lang w:val="en-GB"/>
        </w:rPr>
        <w:instrText xml:space="preserve"> \* MERGEFORMAT </w:instrText>
      </w:r>
      <w:r w:rsidRPr="003269B4">
        <w:rPr>
          <w:lang w:val="en-GB"/>
        </w:rPr>
      </w:r>
      <w:r w:rsidRPr="003269B4">
        <w:rPr>
          <w:lang w:val="en-GB"/>
        </w:rPr>
        <w:fldChar w:fldCharType="separate"/>
      </w:r>
      <w:r w:rsidR="00725364">
        <w:rPr>
          <w:lang w:val="en-GB"/>
        </w:rPr>
        <w:t>[6]</w:t>
      </w:r>
      <w:r w:rsidRPr="003269B4">
        <w:rPr>
          <w:lang w:val="en-GB"/>
        </w:rPr>
        <w:fldChar w:fldCharType="end"/>
      </w:r>
      <w:r w:rsidRPr="003269B4">
        <w:rPr>
          <w:lang w:val="en-GB"/>
        </w:rPr>
        <w:t xml:space="preserve">, the following agreement has been made for the reference numerology of the PDSCH to HARQ-ACK offset k1: </w:t>
      </w:r>
    </w:p>
    <w:p w14:paraId="5C18F444" w14:textId="77777777" w:rsidR="00881CF3" w:rsidRPr="003269B4" w:rsidRDefault="00881CF3" w:rsidP="00881CF3">
      <w:pPr>
        <w:jc w:val="both"/>
        <w:rPr>
          <w:lang w:val="en-GB"/>
        </w:rPr>
      </w:pPr>
    </w:p>
    <w:p w14:paraId="4DDF5CDD" w14:textId="77777777" w:rsidR="00881CF3" w:rsidRPr="003269B4" w:rsidRDefault="00881CF3" w:rsidP="00881CF3">
      <w:r w:rsidRPr="003269B4">
        <w:rPr>
          <w:highlight w:val="green"/>
        </w:rPr>
        <w:t>Agreement</w:t>
      </w:r>
      <w:r w:rsidRPr="003269B4">
        <w:t>: For PUCCH carrier switching based on dynamic indication in DCI scheduling a PUCCH (i.e. Alt. 1), the PDSCH to HARQ-ACK offset k1 is interpreted based on the numerology of the dynamically indicated target PUCCH cell.</w:t>
      </w:r>
    </w:p>
    <w:p w14:paraId="1AD987D1" w14:textId="77777777" w:rsidR="00674A28" w:rsidRPr="003269B4" w:rsidRDefault="00674A28" w:rsidP="00A3449F">
      <w:pPr>
        <w:jc w:val="both"/>
        <w:rPr>
          <w:lang w:val="x-none"/>
        </w:rPr>
      </w:pPr>
    </w:p>
    <w:p w14:paraId="7B3C94C3" w14:textId="77777777" w:rsidR="0060663D" w:rsidRPr="003269B4" w:rsidRDefault="0060663D" w:rsidP="00A3449F">
      <w:pPr>
        <w:jc w:val="both"/>
        <w:rPr>
          <w:lang w:val="en-GB"/>
        </w:rPr>
      </w:pPr>
    </w:p>
    <w:p w14:paraId="14EE7F25" w14:textId="232F0379" w:rsidR="00BC0821" w:rsidRPr="003269B4" w:rsidRDefault="00BC0821" w:rsidP="00167080">
      <w:pPr>
        <w:rPr>
          <w:lang w:val="en-GB"/>
        </w:rPr>
      </w:pPr>
      <w:r w:rsidRPr="003269B4">
        <w:rPr>
          <w:lang w:val="en-GB"/>
        </w:rPr>
        <w:t>The same question applies as well to the PUCCH cell timing pattern</w:t>
      </w:r>
      <w:r w:rsidR="00167080" w:rsidRPr="003269B4">
        <w:rPr>
          <w:lang w:val="en-GB"/>
        </w:rPr>
        <w:t xml:space="preserve">. Ideally, a unified solution for the PDSCH to HARQ-ACK offset k1 and the PUCCH cell timing pattern has to be adopted. But, the PUCCH cell timing pattern cannot </w:t>
      </w:r>
      <w:r w:rsidR="00824696" w:rsidRPr="003269B4">
        <w:rPr>
          <w:lang w:val="en-GB"/>
        </w:rPr>
        <w:t>unfortunately</w:t>
      </w:r>
      <w:r w:rsidR="00167080" w:rsidRPr="003269B4">
        <w:rPr>
          <w:lang w:val="en-GB"/>
        </w:rPr>
        <w:t xml:space="preserve"> rely on the numerology of the target PUCCH </w:t>
      </w:r>
      <w:r w:rsidR="00824696" w:rsidRPr="003269B4">
        <w:rPr>
          <w:lang w:val="en-GB"/>
        </w:rPr>
        <w:t>carrier</w:t>
      </w:r>
      <w:r w:rsidR="00167080" w:rsidRPr="003269B4">
        <w:rPr>
          <w:lang w:val="en-GB"/>
        </w:rPr>
        <w:t xml:space="preserve"> as the </w:t>
      </w:r>
      <w:r w:rsidR="00824696" w:rsidRPr="003269B4">
        <w:rPr>
          <w:lang w:val="en-GB"/>
        </w:rPr>
        <w:t>carrier</w:t>
      </w:r>
      <w:r w:rsidR="00167080" w:rsidRPr="003269B4">
        <w:rPr>
          <w:lang w:val="en-GB"/>
        </w:rPr>
        <w:t xml:space="preserve"> keeps changing</w:t>
      </w:r>
      <w:r w:rsidR="00824696" w:rsidRPr="003269B4">
        <w:rPr>
          <w:lang w:val="en-GB"/>
        </w:rPr>
        <w:t xml:space="preserve"> and</w:t>
      </w:r>
      <w:r w:rsidR="00167080" w:rsidRPr="003269B4">
        <w:rPr>
          <w:lang w:val="en-GB"/>
        </w:rPr>
        <w:t xml:space="preserve"> the reference should remain fixed. </w:t>
      </w:r>
    </w:p>
    <w:p w14:paraId="4377D174" w14:textId="5C7CF3F7" w:rsidR="00824696" w:rsidRPr="003269B4" w:rsidRDefault="00967D7B" w:rsidP="00167080">
      <w:pPr>
        <w:rPr>
          <w:kern w:val="2"/>
          <w:lang w:eastAsia="zh-CN"/>
        </w:rPr>
      </w:pPr>
      <w:r w:rsidRPr="003269B4">
        <w:rPr>
          <w:kern w:val="2"/>
          <w:lang w:eastAsia="zh-CN"/>
        </w:rPr>
        <w:lastRenderedPageBreak/>
        <w:t>Considering</w:t>
      </w:r>
      <w:r w:rsidR="00824696" w:rsidRPr="003269B4">
        <w:rPr>
          <w:kern w:val="2"/>
          <w:lang w:eastAsia="zh-CN"/>
        </w:rPr>
        <w:t xml:space="preserve"> the </w:t>
      </w:r>
      <w:proofErr w:type="spellStart"/>
      <w:r w:rsidR="00824696" w:rsidRPr="003269B4">
        <w:rPr>
          <w:kern w:val="2"/>
          <w:lang w:eastAsia="zh-CN"/>
        </w:rPr>
        <w:t>PCell</w:t>
      </w:r>
      <w:proofErr w:type="spellEnd"/>
      <w:r w:rsidR="00824696" w:rsidRPr="003269B4">
        <w:rPr>
          <w:kern w:val="2"/>
          <w:lang w:eastAsia="zh-CN"/>
        </w:rPr>
        <w:t xml:space="preserve"> as reference could have good motivation to align with the legacy carrier of the PUCCH transmission.</w:t>
      </w:r>
      <w:r w:rsidRPr="003269B4">
        <w:rPr>
          <w:kern w:val="2"/>
          <w:lang w:eastAsia="zh-CN"/>
        </w:rPr>
        <w:t xml:space="preserve"> </w:t>
      </w:r>
      <w:r w:rsidR="00E61F22">
        <w:rPr>
          <w:kern w:val="2"/>
          <w:lang w:eastAsia="zh-CN"/>
        </w:rPr>
        <w:t xml:space="preserve">Using </w:t>
      </w:r>
      <w:r w:rsidR="005B7D5E">
        <w:rPr>
          <w:kern w:val="2"/>
          <w:lang w:eastAsia="zh-CN"/>
        </w:rPr>
        <w:t>a fixed</w:t>
      </w:r>
      <w:r w:rsidR="00E61F22">
        <w:rPr>
          <w:kern w:val="2"/>
          <w:lang w:eastAsia="zh-CN"/>
        </w:rPr>
        <w:t xml:space="preserve"> cell for the granularity of the time domain could be </w:t>
      </w:r>
      <w:r w:rsidR="005B7D5E">
        <w:rPr>
          <w:kern w:val="2"/>
          <w:lang w:eastAsia="zh-CN"/>
        </w:rPr>
        <w:t>very restrictive especially if different carriers have different numerologies and different K1 sets</w:t>
      </w:r>
      <w:r w:rsidR="00E61F22">
        <w:rPr>
          <w:kern w:val="2"/>
          <w:lang w:eastAsia="zh-CN"/>
        </w:rPr>
        <w:t xml:space="preserve">. </w:t>
      </w:r>
      <w:r w:rsidRPr="003269B4">
        <w:rPr>
          <w:kern w:val="2"/>
          <w:lang w:eastAsia="zh-CN"/>
        </w:rPr>
        <w:t xml:space="preserve"> </w:t>
      </w:r>
    </w:p>
    <w:p w14:paraId="3523E655" w14:textId="1A75E79C" w:rsidR="00967D7B" w:rsidRPr="003269B4" w:rsidRDefault="00E61F22" w:rsidP="00167080">
      <w:pPr>
        <w:rPr>
          <w:kern w:val="2"/>
          <w:lang w:eastAsia="zh-CN"/>
        </w:rPr>
      </w:pPr>
      <w:r>
        <w:rPr>
          <w:kern w:val="2"/>
          <w:lang w:eastAsia="zh-CN"/>
        </w:rPr>
        <w:t xml:space="preserve"> </w:t>
      </w:r>
    </w:p>
    <w:p w14:paraId="6A86AE43" w14:textId="77777777" w:rsidR="00967D7B" w:rsidRPr="003269B4" w:rsidRDefault="00967D7B" w:rsidP="00967D7B">
      <w:pPr>
        <w:jc w:val="both"/>
        <w:rPr>
          <w:sz w:val="24"/>
        </w:rPr>
      </w:pPr>
    </w:p>
    <w:p w14:paraId="4BD8336E" w14:textId="1A417DFB" w:rsidR="00967D7B" w:rsidRPr="003269B4" w:rsidRDefault="00967D7B" w:rsidP="00967D7B">
      <w:pPr>
        <w:pStyle w:val="ListParagraph"/>
        <w:numPr>
          <w:ilvl w:val="0"/>
          <w:numId w:val="3"/>
        </w:numPr>
        <w:spacing w:after="0" w:line="240" w:lineRule="auto"/>
        <w:contextualSpacing w:val="0"/>
        <w:jc w:val="both"/>
        <w:rPr>
          <w:rFonts w:ascii="Times New Roman" w:eastAsia="PMingLiU" w:hAnsi="Times New Roman" w:cs="Times New Roman"/>
          <w:b/>
          <w:bCs/>
          <w:i/>
          <w:szCs w:val="20"/>
          <w:lang w:val="en-GB"/>
        </w:rPr>
      </w:pPr>
      <w:r w:rsidRPr="003269B4">
        <w:rPr>
          <w:rFonts w:ascii="Times New Roman" w:eastAsia="PMingLiU" w:hAnsi="Times New Roman" w:cs="Times New Roman"/>
          <w:b/>
          <w:bCs/>
          <w:i/>
          <w:szCs w:val="20"/>
        </w:rPr>
        <w:t xml:space="preserve">For PUCCH carrier switching based on semi-static PUCCH cell timing pattern, the reference numerology for the timing pattern </w:t>
      </w:r>
      <w:r w:rsidR="005B7D5E">
        <w:rPr>
          <w:rFonts w:ascii="Times New Roman" w:eastAsia="PMingLiU" w:hAnsi="Times New Roman" w:cs="Times New Roman"/>
          <w:b/>
          <w:bCs/>
          <w:i/>
          <w:szCs w:val="20"/>
          <w:lang w:val="en-GB"/>
        </w:rPr>
        <w:t xml:space="preserve">for k1 interpretation is the target PUCCH cell.  </w:t>
      </w:r>
    </w:p>
    <w:p w14:paraId="2BEF750A" w14:textId="77777777" w:rsidR="00967D7B" w:rsidRPr="003269B4" w:rsidRDefault="00967D7B" w:rsidP="00167080">
      <w:pPr>
        <w:rPr>
          <w:lang w:val="en-GB"/>
        </w:rPr>
      </w:pPr>
    </w:p>
    <w:p w14:paraId="75439831" w14:textId="77777777" w:rsidR="009D1E9C" w:rsidRPr="003269B4" w:rsidRDefault="009D1E9C" w:rsidP="00167080">
      <w:pPr>
        <w:rPr>
          <w:lang w:val="en-GB"/>
        </w:rPr>
      </w:pPr>
    </w:p>
    <w:p w14:paraId="7A56F8BA" w14:textId="7AEFE273" w:rsidR="009D1E9C" w:rsidRPr="003269B4" w:rsidRDefault="009D1E9C" w:rsidP="008E1395">
      <w:pPr>
        <w:pStyle w:val="ListParagraph"/>
        <w:numPr>
          <w:ilvl w:val="0"/>
          <w:numId w:val="5"/>
        </w:numPr>
        <w:jc w:val="both"/>
        <w:rPr>
          <w:b/>
          <w:bCs/>
          <w:lang w:val="en-US"/>
        </w:rPr>
      </w:pPr>
      <w:r w:rsidRPr="003269B4">
        <w:rPr>
          <w:b/>
          <w:bCs/>
          <w:lang w:val="en-US"/>
        </w:rPr>
        <w:t>Granularity of the PUCCH cell timing pattern</w:t>
      </w:r>
    </w:p>
    <w:p w14:paraId="3D327494" w14:textId="5D8ABA55" w:rsidR="009D1E9C" w:rsidRPr="003269B4" w:rsidRDefault="00066AF3" w:rsidP="00167080">
      <w:r w:rsidRPr="003269B4">
        <w:t>The granularity of the PUCCH cell timing pattern could be slot-based</w:t>
      </w:r>
      <w:r w:rsidR="005B7D5E">
        <w:t>,</w:t>
      </w:r>
      <w:r w:rsidRPr="003269B4">
        <w:t xml:space="preserve"> sub-slot-based or symbol-based. </w:t>
      </w:r>
    </w:p>
    <w:p w14:paraId="1C9963E4" w14:textId="77777777" w:rsidR="00066AF3" w:rsidRPr="003269B4" w:rsidRDefault="00066AF3" w:rsidP="00066AF3">
      <w:pPr>
        <w:jc w:val="both"/>
        <w:rPr>
          <w:iCs/>
          <w:kern w:val="2"/>
          <w:lang w:eastAsia="zh-CN"/>
        </w:rPr>
      </w:pPr>
      <w:r w:rsidRPr="003269B4">
        <w:t xml:space="preserve">It is better to rely </w:t>
      </w:r>
      <w:r w:rsidRPr="003269B4">
        <w:rPr>
          <w:iCs/>
          <w:kern w:val="2"/>
          <w:lang w:eastAsia="zh-CN"/>
        </w:rPr>
        <w:t xml:space="preserve">on the UL slot of the reference numerology. </w:t>
      </w:r>
    </w:p>
    <w:p w14:paraId="019B6BDD" w14:textId="1C708EA6" w:rsidR="00066AF3" w:rsidRPr="003269B4" w:rsidRDefault="00066AF3" w:rsidP="00066AF3">
      <w:pPr>
        <w:jc w:val="both"/>
        <w:rPr>
          <w:iCs/>
          <w:kern w:val="2"/>
          <w:lang w:eastAsia="zh-CN"/>
        </w:rPr>
      </w:pPr>
      <w:r w:rsidRPr="003269B4">
        <w:rPr>
          <w:iCs/>
          <w:kern w:val="2"/>
          <w:lang w:eastAsia="zh-CN"/>
        </w:rPr>
        <w:t xml:space="preserve">It is very complex to configure different patterns for slot- and sub-slot based PUCCHs or to use symbol level. </w:t>
      </w:r>
    </w:p>
    <w:p w14:paraId="6F87525D" w14:textId="77777777" w:rsidR="00066AF3" w:rsidRPr="003269B4" w:rsidRDefault="00066AF3" w:rsidP="00066AF3">
      <w:pPr>
        <w:jc w:val="both"/>
        <w:rPr>
          <w:sz w:val="24"/>
        </w:rPr>
      </w:pPr>
    </w:p>
    <w:p w14:paraId="356FB1AC" w14:textId="1B6404AC" w:rsidR="00066AF3" w:rsidRPr="003269B4" w:rsidRDefault="00066AF3" w:rsidP="00066AF3">
      <w:pPr>
        <w:pStyle w:val="ListParagraph"/>
        <w:numPr>
          <w:ilvl w:val="0"/>
          <w:numId w:val="3"/>
        </w:numPr>
        <w:spacing w:after="0" w:line="240" w:lineRule="auto"/>
        <w:contextualSpacing w:val="0"/>
        <w:jc w:val="both"/>
        <w:rPr>
          <w:rFonts w:ascii="Times New Roman" w:eastAsia="PMingLiU" w:hAnsi="Times New Roman" w:cs="Times New Roman"/>
          <w:b/>
          <w:bCs/>
          <w:i/>
          <w:szCs w:val="20"/>
          <w:lang w:val="en-GB"/>
        </w:rPr>
      </w:pPr>
      <w:r w:rsidRPr="003269B4">
        <w:rPr>
          <w:rFonts w:ascii="Times New Roman" w:eastAsia="PMingLiU" w:hAnsi="Times New Roman" w:cs="Times New Roman"/>
          <w:b/>
          <w:bCs/>
          <w:i/>
          <w:szCs w:val="20"/>
        </w:rPr>
        <w:t xml:space="preserve">For PUCCH carrier switching based on semi-static PUCCH cell timing pattern, the </w:t>
      </w:r>
      <w:r w:rsidRPr="003269B4">
        <w:rPr>
          <w:rFonts w:ascii="Times New Roman" w:eastAsia="PMingLiU" w:hAnsi="Times New Roman" w:cs="Times New Roman"/>
          <w:b/>
          <w:bCs/>
          <w:i/>
          <w:szCs w:val="20"/>
          <w:lang w:val="en-GB"/>
        </w:rPr>
        <w:t>granularity of</w:t>
      </w:r>
      <w:r w:rsidRPr="003269B4">
        <w:rPr>
          <w:rFonts w:ascii="Times New Roman" w:eastAsia="PMingLiU" w:hAnsi="Times New Roman" w:cs="Times New Roman"/>
          <w:b/>
          <w:bCs/>
          <w:i/>
          <w:szCs w:val="20"/>
        </w:rPr>
        <w:t xml:space="preserve"> the timing pattern </w:t>
      </w:r>
      <w:r w:rsidR="005B7D5E">
        <w:rPr>
          <w:rFonts w:ascii="Times New Roman" w:eastAsia="PMingLiU" w:hAnsi="Times New Roman" w:cs="Times New Roman"/>
          <w:b/>
          <w:bCs/>
          <w:i/>
          <w:szCs w:val="20"/>
          <w:lang w:val="en-GB"/>
        </w:rPr>
        <w:t>is the slot of the reference cell, where the reference cell is configured to the UE</w:t>
      </w:r>
      <w:r w:rsidRPr="003269B4">
        <w:rPr>
          <w:rFonts w:ascii="Times New Roman" w:eastAsia="PMingLiU" w:hAnsi="Times New Roman" w:cs="Times New Roman"/>
          <w:b/>
          <w:bCs/>
          <w:i/>
          <w:szCs w:val="20"/>
        </w:rPr>
        <w:t>.</w:t>
      </w:r>
      <w:r w:rsidRPr="003269B4">
        <w:rPr>
          <w:rFonts w:eastAsia="PMingLiU" w:cs="Times New Roman"/>
          <w:lang w:val="en-GB"/>
        </w:rPr>
        <w:t xml:space="preserve"> </w:t>
      </w:r>
    </w:p>
    <w:p w14:paraId="325E4B06" w14:textId="16678657" w:rsidR="00066AF3" w:rsidRPr="003269B4" w:rsidRDefault="00066AF3" w:rsidP="00167080">
      <w:pPr>
        <w:rPr>
          <w:lang w:val="en-GB"/>
        </w:rPr>
      </w:pPr>
    </w:p>
    <w:p w14:paraId="114AD8F8" w14:textId="0B36FAFB" w:rsidR="00520050" w:rsidRPr="003269B4" w:rsidRDefault="00520050" w:rsidP="008E1395">
      <w:pPr>
        <w:pStyle w:val="ListParagraph"/>
        <w:numPr>
          <w:ilvl w:val="0"/>
          <w:numId w:val="6"/>
        </w:numPr>
        <w:jc w:val="both"/>
        <w:rPr>
          <w:rFonts w:eastAsia="PMingLiU" w:cs="Times New Roman"/>
          <w:b/>
          <w:lang w:val="en-GB"/>
        </w:rPr>
      </w:pPr>
      <w:r w:rsidRPr="003269B4">
        <w:rPr>
          <w:rFonts w:eastAsia="PMingLiU" w:cs="Times New Roman"/>
          <w:b/>
          <w:lang w:val="en-GB"/>
        </w:rPr>
        <w:t>PUCCH power control</w:t>
      </w:r>
    </w:p>
    <w:p w14:paraId="7101E497" w14:textId="77777777" w:rsidR="00520050" w:rsidRPr="003269B4" w:rsidRDefault="00520050" w:rsidP="00520050">
      <w:pPr>
        <w:tabs>
          <w:tab w:val="num" w:pos="1440"/>
        </w:tabs>
        <w:spacing w:after="160" w:line="259" w:lineRule="auto"/>
        <w:rPr>
          <w:rFonts w:eastAsia="Malgun Gothic"/>
          <w:iCs/>
          <w:kern w:val="2"/>
          <w:lang w:eastAsia="ko-KR"/>
        </w:rPr>
      </w:pPr>
      <w:r w:rsidRPr="003269B4">
        <w:rPr>
          <w:rFonts w:eastAsia="Malgun Gothic"/>
          <w:iCs/>
          <w:kern w:val="2"/>
          <w:lang w:eastAsia="ko-KR"/>
        </w:rPr>
        <w:t xml:space="preserve">Regarding the PUCCH power control for dynamically switched PUCCH resources. </w:t>
      </w:r>
      <w:r w:rsidRPr="003269B4">
        <w:rPr>
          <w:rFonts w:eastAsia="Malgun Gothic"/>
          <w:iCs/>
          <w:kern w:val="2"/>
          <w:lang w:val="en-GB" w:eastAsia="ko-KR"/>
        </w:rPr>
        <w:t>TPC commands for PUCCH are provided using DCI format 2_2 (</w:t>
      </w:r>
      <w:r w:rsidRPr="003269B4">
        <w:rPr>
          <w:rFonts w:eastAsia="Malgun Gothic"/>
          <w:i/>
          <w:iCs/>
          <w:kern w:val="2"/>
          <w:lang w:val="en-GB" w:eastAsia="ko-KR"/>
        </w:rPr>
        <w:t>TPC-PUCCH-RNTI</w:t>
      </w:r>
      <w:r w:rsidRPr="003269B4">
        <w:rPr>
          <w:rFonts w:eastAsia="Malgun Gothic"/>
          <w:iCs/>
          <w:kern w:val="2"/>
          <w:lang w:val="en-GB" w:eastAsia="ko-KR"/>
        </w:rPr>
        <w:t xml:space="preserve">). In </w:t>
      </w:r>
      <w:proofErr w:type="spellStart"/>
      <w:r w:rsidRPr="003269B4">
        <w:rPr>
          <w:rFonts w:eastAsia="Malgun Gothic"/>
          <w:iCs/>
          <w:kern w:val="2"/>
          <w:lang w:val="en-GB" w:eastAsia="ko-KR"/>
        </w:rPr>
        <w:t>mmWave</w:t>
      </w:r>
      <w:proofErr w:type="spellEnd"/>
      <w:r w:rsidRPr="003269B4">
        <w:rPr>
          <w:rFonts w:eastAsia="Malgun Gothic"/>
          <w:iCs/>
          <w:kern w:val="2"/>
          <w:lang w:val="en-GB" w:eastAsia="ko-KR"/>
        </w:rPr>
        <w:t xml:space="preserve"> operation, the MAC CE (PUCCH spatial relation activation/deactivation) signals to the UE to change the beam used for the PUCCH transmission. While changing the beam, the UE also changes the power control parameter sets at the same time. A similar approach could be adopted for the dynamic PUCCH carrier switch. </w:t>
      </w:r>
      <w:r w:rsidRPr="003269B4">
        <w:rPr>
          <w:rFonts w:eastAsia="Malgun Gothic"/>
          <w:bCs/>
          <w:iCs/>
          <w:kern w:val="2"/>
          <w:lang w:val="en-GB" w:eastAsia="ko-KR"/>
        </w:rPr>
        <w:t>Each cell carrying PUCCH has its own TPC configuration (</w:t>
      </w:r>
      <w:r w:rsidRPr="003269B4">
        <w:rPr>
          <w:rFonts w:eastAsia="Malgun Gothic"/>
          <w:bCs/>
          <w:i/>
          <w:iCs/>
          <w:kern w:val="2"/>
          <w:lang w:val="en-GB" w:eastAsia="ko-KR"/>
        </w:rPr>
        <w:t>PUCCH-</w:t>
      </w:r>
      <w:proofErr w:type="spellStart"/>
      <w:r w:rsidRPr="003269B4">
        <w:rPr>
          <w:rFonts w:eastAsia="Malgun Gothic"/>
          <w:bCs/>
          <w:i/>
          <w:iCs/>
          <w:kern w:val="2"/>
          <w:lang w:val="en-GB" w:eastAsia="ko-KR"/>
        </w:rPr>
        <w:t>PowerControl</w:t>
      </w:r>
      <w:proofErr w:type="spellEnd"/>
      <w:r w:rsidRPr="003269B4">
        <w:rPr>
          <w:rFonts w:eastAsia="Malgun Gothic"/>
          <w:bCs/>
          <w:iCs/>
          <w:kern w:val="2"/>
          <w:lang w:val="en-GB" w:eastAsia="ko-KR"/>
        </w:rPr>
        <w:t>) and has its own TPC loop and when changing the PUCCH carrier the UE changes the power control parameters to use the ones associated to the new PUCCH carrier.</w:t>
      </w:r>
      <w:r w:rsidRPr="003269B4">
        <w:rPr>
          <w:rFonts w:eastAsia="Malgun Gothic"/>
          <w:b/>
          <w:bCs/>
          <w:iCs/>
          <w:kern w:val="2"/>
          <w:lang w:val="en-GB" w:eastAsia="ko-KR"/>
        </w:rPr>
        <w:t xml:space="preserve"> </w:t>
      </w:r>
    </w:p>
    <w:p w14:paraId="147E7580" w14:textId="2C64C64C" w:rsidR="006E3F40" w:rsidRPr="003269B4" w:rsidRDefault="00520050" w:rsidP="0002284D">
      <w:pPr>
        <w:pStyle w:val="ListParagraph"/>
        <w:numPr>
          <w:ilvl w:val="0"/>
          <w:numId w:val="3"/>
        </w:numPr>
        <w:spacing w:after="0" w:line="240" w:lineRule="auto"/>
        <w:contextualSpacing w:val="0"/>
        <w:jc w:val="both"/>
        <w:rPr>
          <w:lang w:val="en-GB"/>
        </w:rPr>
      </w:pPr>
      <w:r w:rsidRPr="003269B4">
        <w:rPr>
          <w:rFonts w:ascii="Times New Roman" w:eastAsia="PMingLiU" w:hAnsi="Times New Roman" w:cs="Times New Roman"/>
          <w:b/>
          <w:bCs/>
          <w:i/>
          <w:szCs w:val="20"/>
          <w:lang w:val="en-GB"/>
        </w:rPr>
        <w:t>Each cell carrying PUCCH has its own TPC configuration (PUCCH-</w:t>
      </w:r>
      <w:proofErr w:type="spellStart"/>
      <w:r w:rsidRPr="003269B4">
        <w:rPr>
          <w:rFonts w:ascii="Times New Roman" w:eastAsia="PMingLiU" w:hAnsi="Times New Roman" w:cs="Times New Roman"/>
          <w:b/>
          <w:bCs/>
          <w:i/>
          <w:szCs w:val="20"/>
          <w:lang w:val="en-GB"/>
        </w:rPr>
        <w:t>PowerControl</w:t>
      </w:r>
      <w:proofErr w:type="spellEnd"/>
      <w:r w:rsidRPr="003269B4">
        <w:rPr>
          <w:rFonts w:ascii="Times New Roman" w:eastAsia="PMingLiU" w:hAnsi="Times New Roman" w:cs="Times New Roman"/>
          <w:b/>
          <w:bCs/>
          <w:i/>
          <w:szCs w:val="20"/>
          <w:lang w:val="en-GB"/>
        </w:rPr>
        <w:t>) and has its own TPC loop. When switching the PUCCH carrier, UE changes the power control parameters to use the ones associated to the new PUCCH carrier.</w:t>
      </w:r>
    </w:p>
    <w:p w14:paraId="61C2C509" w14:textId="77777777" w:rsidR="00C76835" w:rsidRDefault="00C76835" w:rsidP="00C76835">
      <w:pPr>
        <w:pStyle w:val="ListParagraph"/>
        <w:spacing w:after="0" w:line="240" w:lineRule="auto"/>
        <w:ind w:left="0"/>
        <w:contextualSpacing w:val="0"/>
        <w:jc w:val="both"/>
        <w:rPr>
          <w:rFonts w:ascii="Times New Roman" w:eastAsia="PMingLiU" w:hAnsi="Times New Roman" w:cs="Times New Roman"/>
          <w:b/>
          <w:bCs/>
          <w:i/>
          <w:strike/>
          <w:szCs w:val="20"/>
          <w:lang w:val="en-GB"/>
        </w:rPr>
      </w:pPr>
    </w:p>
    <w:p w14:paraId="0F70F71A" w14:textId="6FD81FE8" w:rsidR="00325043" w:rsidRDefault="00325043" w:rsidP="008E1395">
      <w:pPr>
        <w:pStyle w:val="ListParagraph"/>
        <w:numPr>
          <w:ilvl w:val="0"/>
          <w:numId w:val="6"/>
        </w:numPr>
        <w:jc w:val="both"/>
        <w:rPr>
          <w:rFonts w:eastAsia="PMingLiU" w:cs="Times New Roman"/>
          <w:b/>
          <w:lang w:val="en-GB"/>
        </w:rPr>
      </w:pPr>
      <w:r>
        <w:rPr>
          <w:rFonts w:eastAsia="PMingLiU" w:cs="Times New Roman"/>
          <w:b/>
          <w:lang w:val="en-GB"/>
        </w:rPr>
        <w:t>SUL support</w:t>
      </w:r>
    </w:p>
    <w:p w14:paraId="6ED8022B" w14:textId="4087BDD4" w:rsidR="00325043" w:rsidRDefault="00325043" w:rsidP="00325043">
      <w:pPr>
        <w:jc w:val="both"/>
        <w:rPr>
          <w:iCs/>
          <w:kern w:val="2"/>
          <w:lang w:eastAsia="zh-CN"/>
        </w:rPr>
      </w:pPr>
      <w:r w:rsidRPr="00325043">
        <w:rPr>
          <w:rFonts w:eastAsia="Malgun Gothic"/>
          <w:bCs/>
          <w:iCs/>
          <w:kern w:val="2"/>
          <w:lang w:val="en-GB" w:eastAsia="ko-KR"/>
        </w:rPr>
        <w:t xml:space="preserve">PUCCH carrier switching involving SUL </w:t>
      </w:r>
      <w:r>
        <w:rPr>
          <w:rFonts w:eastAsia="Malgun Gothic"/>
          <w:bCs/>
          <w:iCs/>
          <w:kern w:val="2"/>
          <w:lang w:val="en-GB" w:eastAsia="ko-KR"/>
        </w:rPr>
        <w:t xml:space="preserve">should also be supported in Rel-17. </w:t>
      </w:r>
      <w:r w:rsidR="006E4021">
        <w:rPr>
          <w:rFonts w:eastAsia="Malgun Gothic"/>
          <w:bCs/>
          <w:iCs/>
          <w:kern w:val="2"/>
          <w:lang w:val="en-GB" w:eastAsia="ko-KR"/>
        </w:rPr>
        <w:t xml:space="preserve">Both cases with </w:t>
      </w:r>
      <w:r w:rsidR="006E4021" w:rsidRPr="00DB207E">
        <w:rPr>
          <w:iCs/>
          <w:kern w:val="2"/>
          <w:lang w:eastAsia="zh-CN"/>
        </w:rPr>
        <w:t>PUCCH switching among different cells with some of the cell(s) configured with both NUL and SUL</w:t>
      </w:r>
      <w:r w:rsidR="006E4021">
        <w:rPr>
          <w:iCs/>
          <w:kern w:val="2"/>
          <w:lang w:eastAsia="zh-CN"/>
        </w:rPr>
        <w:t xml:space="preserve"> or also the case of </w:t>
      </w:r>
      <w:r w:rsidR="006E4021" w:rsidRPr="00DB207E">
        <w:rPr>
          <w:iCs/>
          <w:kern w:val="2"/>
          <w:lang w:eastAsia="zh-CN"/>
        </w:rPr>
        <w:t>PUCCH switching among NUL and SUL of a single cell</w:t>
      </w:r>
      <w:r w:rsidR="006E4021">
        <w:rPr>
          <w:iCs/>
          <w:kern w:val="2"/>
          <w:lang w:eastAsia="zh-CN"/>
        </w:rPr>
        <w:t xml:space="preserve">. </w:t>
      </w:r>
      <w:r w:rsidR="00504B7E">
        <w:rPr>
          <w:iCs/>
          <w:kern w:val="2"/>
          <w:lang w:eastAsia="zh-CN"/>
        </w:rPr>
        <w:t>Apart from</w:t>
      </w:r>
      <w:r w:rsidR="00C97D62">
        <w:rPr>
          <w:iCs/>
          <w:kern w:val="2"/>
          <w:lang w:eastAsia="zh-CN"/>
        </w:rPr>
        <w:t xml:space="preserve"> the confusion from</w:t>
      </w:r>
      <w:r w:rsidR="00504B7E">
        <w:rPr>
          <w:iCs/>
          <w:kern w:val="2"/>
          <w:lang w:eastAsia="zh-CN"/>
        </w:rPr>
        <w:t xml:space="preserve"> the </w:t>
      </w:r>
      <w:r w:rsidR="00C97D62">
        <w:rPr>
          <w:iCs/>
          <w:kern w:val="2"/>
          <w:lang w:eastAsia="zh-CN"/>
        </w:rPr>
        <w:t xml:space="preserve">previously </w:t>
      </w:r>
      <w:r w:rsidR="00504B7E">
        <w:rPr>
          <w:iCs/>
          <w:kern w:val="2"/>
          <w:lang w:eastAsia="zh-CN"/>
        </w:rPr>
        <w:t xml:space="preserve">used </w:t>
      </w:r>
      <w:r w:rsidR="00C97D62">
        <w:rPr>
          <w:iCs/>
          <w:kern w:val="2"/>
          <w:lang w:eastAsia="zh-CN"/>
        </w:rPr>
        <w:t xml:space="preserve">“cell/carrier” </w:t>
      </w:r>
      <w:r w:rsidR="00504B7E">
        <w:rPr>
          <w:iCs/>
          <w:kern w:val="2"/>
          <w:lang w:eastAsia="zh-CN"/>
        </w:rPr>
        <w:t xml:space="preserve">terminology, </w:t>
      </w:r>
      <w:r w:rsidR="00C97D62">
        <w:rPr>
          <w:iCs/>
          <w:kern w:val="2"/>
          <w:lang w:eastAsia="zh-CN"/>
        </w:rPr>
        <w:t>t</w:t>
      </w:r>
      <w:r w:rsidR="00555280">
        <w:rPr>
          <w:iCs/>
          <w:kern w:val="2"/>
          <w:lang w:eastAsia="zh-CN"/>
        </w:rPr>
        <w:t xml:space="preserve">here is no </w:t>
      </w:r>
      <w:r w:rsidR="00C97D62">
        <w:rPr>
          <w:iCs/>
          <w:kern w:val="2"/>
          <w:lang w:eastAsia="zh-CN"/>
        </w:rPr>
        <w:t>technical</w:t>
      </w:r>
      <w:r w:rsidR="00555280">
        <w:rPr>
          <w:iCs/>
          <w:kern w:val="2"/>
          <w:lang w:eastAsia="zh-CN"/>
        </w:rPr>
        <w:t xml:space="preserve"> </w:t>
      </w:r>
      <w:r w:rsidR="007600AD">
        <w:rPr>
          <w:iCs/>
          <w:kern w:val="2"/>
          <w:lang w:eastAsia="zh-CN"/>
        </w:rPr>
        <w:t>motivation</w:t>
      </w:r>
      <w:r w:rsidR="00555280">
        <w:rPr>
          <w:iCs/>
          <w:kern w:val="2"/>
          <w:lang w:eastAsia="zh-CN"/>
        </w:rPr>
        <w:t xml:space="preserve"> to exclude these scenarios from PUCCH carrier switching. </w:t>
      </w:r>
    </w:p>
    <w:p w14:paraId="2752EDC6" w14:textId="4E46286E" w:rsidR="00206795" w:rsidRDefault="00206795" w:rsidP="00206795">
      <w:pPr>
        <w:spacing w:beforeLines="50" w:before="120"/>
        <w:rPr>
          <w:iCs/>
          <w:kern w:val="2"/>
          <w:lang w:eastAsia="zh-CN"/>
        </w:rPr>
      </w:pPr>
      <w:r>
        <w:rPr>
          <w:iCs/>
          <w:kern w:val="2"/>
          <w:lang w:eastAsia="zh-CN"/>
        </w:rPr>
        <w:t>Some companies argued that</w:t>
      </w:r>
      <w:r w:rsidR="002A15E8">
        <w:rPr>
          <w:iCs/>
          <w:kern w:val="2"/>
          <w:lang w:eastAsia="zh-CN"/>
        </w:rPr>
        <w:t xml:space="preserve"> if a single cell supports bo</w:t>
      </w:r>
      <w:r>
        <w:rPr>
          <w:iCs/>
          <w:kern w:val="2"/>
          <w:lang w:eastAsia="zh-CN"/>
        </w:rPr>
        <w:t xml:space="preserve">th NUL and SUL then the </w:t>
      </w:r>
      <w:proofErr w:type="spellStart"/>
      <w:r>
        <w:rPr>
          <w:iCs/>
          <w:kern w:val="2"/>
          <w:lang w:eastAsia="zh-CN"/>
        </w:rPr>
        <w:t>gNB</w:t>
      </w:r>
      <w:proofErr w:type="spellEnd"/>
      <w:r>
        <w:rPr>
          <w:iCs/>
          <w:kern w:val="2"/>
          <w:lang w:eastAsia="zh-CN"/>
        </w:rPr>
        <w:t xml:space="preserve"> can configure the SUL carrier to carry the PUCCH in the first place so the argument of the TDD impacts would not be there, and that the argument for the SUL was to allow simultaneous UL/DL operation of a cell and if having the PUCCH configured on SUL for a cell then it is sufficient. PUCCH carrier switching is still useful in this scenario especially the dynamic switching to address the variability in the wireless channel and select the carrier with the best channel conditions for the PUCCH transmission. </w:t>
      </w:r>
    </w:p>
    <w:p w14:paraId="6DA5256B" w14:textId="3C8FC62B" w:rsidR="0094666E" w:rsidRPr="0094666E" w:rsidRDefault="0094666E" w:rsidP="0094666E">
      <w:pPr>
        <w:pStyle w:val="ListParagraph"/>
        <w:numPr>
          <w:ilvl w:val="0"/>
          <w:numId w:val="3"/>
        </w:numPr>
        <w:spacing w:after="0" w:line="240" w:lineRule="auto"/>
        <w:contextualSpacing w:val="0"/>
        <w:jc w:val="both"/>
        <w:rPr>
          <w:rFonts w:ascii="Times New Roman" w:eastAsia="PMingLiU" w:hAnsi="Times New Roman" w:cs="Times New Roman"/>
          <w:b/>
          <w:bCs/>
          <w:i/>
          <w:szCs w:val="20"/>
          <w:lang w:val="en-GB"/>
        </w:rPr>
      </w:pPr>
      <w:r w:rsidRPr="0094666E">
        <w:rPr>
          <w:rFonts w:ascii="Times New Roman" w:eastAsia="PMingLiU" w:hAnsi="Times New Roman" w:cs="Times New Roman"/>
          <w:b/>
          <w:bCs/>
          <w:i/>
          <w:szCs w:val="20"/>
          <w:lang w:val="en-GB"/>
        </w:rPr>
        <w:lastRenderedPageBreak/>
        <w:t xml:space="preserve">Both cases with PUCCH switching among different cells with some of the cell(s) configured with both NUL and SUL or also the case of PUCCH switching among NUL and SUL of a single cell are supported. </w:t>
      </w:r>
    </w:p>
    <w:p w14:paraId="66BFF84A" w14:textId="77777777" w:rsidR="0094666E" w:rsidRPr="0094666E" w:rsidRDefault="0094666E" w:rsidP="00206795">
      <w:pPr>
        <w:spacing w:beforeLines="50" w:before="120"/>
        <w:rPr>
          <w:iCs/>
          <w:kern w:val="2"/>
          <w:lang w:val="en-GB" w:eastAsia="zh-CN"/>
        </w:rPr>
      </w:pPr>
    </w:p>
    <w:p w14:paraId="7101740A" w14:textId="77777777" w:rsidR="005B7D5E" w:rsidRDefault="005B7D5E" w:rsidP="00206795">
      <w:pPr>
        <w:spacing w:beforeLines="50" w:before="120"/>
        <w:rPr>
          <w:iCs/>
          <w:kern w:val="2"/>
          <w:lang w:eastAsia="zh-CN"/>
        </w:rPr>
      </w:pPr>
    </w:p>
    <w:p w14:paraId="53E50542" w14:textId="52121A0B" w:rsidR="005B7D5E" w:rsidRDefault="00BA22C5" w:rsidP="008E1395">
      <w:pPr>
        <w:pStyle w:val="ListParagraph"/>
        <w:numPr>
          <w:ilvl w:val="0"/>
          <w:numId w:val="6"/>
        </w:numPr>
        <w:jc w:val="both"/>
        <w:rPr>
          <w:rFonts w:eastAsia="PMingLiU" w:cs="Times New Roman"/>
          <w:b/>
          <w:lang w:val="en-GB"/>
        </w:rPr>
      </w:pPr>
      <w:r>
        <w:rPr>
          <w:rFonts w:eastAsia="PMingLiU" w:cs="Times New Roman"/>
          <w:b/>
          <w:lang w:val="en-GB"/>
        </w:rPr>
        <w:t>PUCCH carrier overriding</w:t>
      </w:r>
    </w:p>
    <w:p w14:paraId="2A84ECB6" w14:textId="3CCC0414" w:rsidR="00BA22C5" w:rsidRPr="00BA22C5" w:rsidRDefault="00BA22C5" w:rsidP="00BA22C5">
      <w:pPr>
        <w:spacing w:beforeLines="50" w:before="120"/>
        <w:rPr>
          <w:iCs/>
          <w:kern w:val="2"/>
          <w:lang w:eastAsia="zh-CN"/>
        </w:rPr>
      </w:pPr>
      <w:r w:rsidRPr="00BA22C5">
        <w:rPr>
          <w:iCs/>
          <w:kern w:val="2"/>
          <w:lang w:eastAsia="zh-CN"/>
        </w:rPr>
        <w:t>The DCI must sel</w:t>
      </w:r>
      <w:r w:rsidR="00426D49">
        <w:rPr>
          <w:iCs/>
          <w:kern w:val="2"/>
          <w:lang w:eastAsia="zh-CN"/>
        </w:rPr>
        <w:t>ect a potential codebook for HARQ Feedback</w:t>
      </w:r>
      <w:r w:rsidRPr="00BA22C5">
        <w:rPr>
          <w:iCs/>
          <w:kern w:val="2"/>
          <w:lang w:eastAsia="zh-CN"/>
        </w:rPr>
        <w:t xml:space="preserve">: by specifying a CC and a </w:t>
      </w:r>
      <w:r w:rsidR="00426D49">
        <w:rPr>
          <w:iCs/>
          <w:kern w:val="2"/>
          <w:lang w:eastAsia="zh-CN"/>
        </w:rPr>
        <w:t>slot/</w:t>
      </w:r>
      <w:r w:rsidRPr="00BA22C5">
        <w:rPr>
          <w:iCs/>
          <w:kern w:val="2"/>
          <w:lang w:eastAsia="zh-CN"/>
        </w:rPr>
        <w:t xml:space="preserve">sub-slot on that CC. That is a codebook </w:t>
      </w:r>
      <w:proofErr w:type="gramStart"/>
      <w:r w:rsidRPr="00BA22C5">
        <w:rPr>
          <w:iCs/>
          <w:kern w:val="2"/>
          <w:lang w:eastAsia="zh-CN"/>
        </w:rPr>
        <w:t>CB(</w:t>
      </w:r>
      <w:proofErr w:type="spellStart"/>
      <w:proofErr w:type="gramEnd"/>
      <w:r w:rsidRPr="00BA22C5">
        <w:rPr>
          <w:iCs/>
          <w:kern w:val="2"/>
          <w:lang w:eastAsia="zh-CN"/>
        </w:rPr>
        <w:t>ccA,B</w:t>
      </w:r>
      <w:proofErr w:type="spellEnd"/>
      <w:r w:rsidRPr="00BA22C5">
        <w:rPr>
          <w:iCs/>
          <w:kern w:val="2"/>
          <w:lang w:eastAsia="zh-CN"/>
        </w:rPr>
        <w:t xml:space="preserve">) is selected by specifying A and B.  </w:t>
      </w:r>
    </w:p>
    <w:p w14:paraId="118D7BE7" w14:textId="77777777" w:rsidR="00BA22C5" w:rsidRPr="00BA22C5" w:rsidRDefault="00BA22C5" w:rsidP="00206795">
      <w:pPr>
        <w:spacing w:beforeLines="50" w:before="120"/>
        <w:rPr>
          <w:iCs/>
          <w:kern w:val="2"/>
          <w:lang w:val="en-GB" w:eastAsia="zh-CN"/>
        </w:rPr>
      </w:pPr>
    </w:p>
    <w:p w14:paraId="25D18581" w14:textId="54038931" w:rsidR="006A5A94" w:rsidRPr="00426D49" w:rsidRDefault="00426D49" w:rsidP="00426D49">
      <w:pPr>
        <w:spacing w:beforeLines="50" w:before="120"/>
        <w:rPr>
          <w:iCs/>
          <w:kern w:val="2"/>
          <w:lang w:eastAsia="zh-CN"/>
        </w:rPr>
      </w:pPr>
      <w:r w:rsidRPr="00426D49">
        <w:rPr>
          <w:iCs/>
          <w:kern w:val="2"/>
          <w:lang w:eastAsia="zh-CN"/>
        </w:rPr>
        <w:t>The potential issue here is: c</w:t>
      </w:r>
      <w:r w:rsidR="008E1395" w:rsidRPr="00426D49">
        <w:rPr>
          <w:iCs/>
          <w:kern w:val="2"/>
          <w:lang w:eastAsia="zh-CN"/>
        </w:rPr>
        <w:t xml:space="preserve">ould </w:t>
      </w:r>
      <w:proofErr w:type="gramStart"/>
      <w:r w:rsidR="008E1395" w:rsidRPr="00426D49">
        <w:rPr>
          <w:iCs/>
          <w:kern w:val="2"/>
          <w:lang w:eastAsia="zh-CN"/>
        </w:rPr>
        <w:t>CB(</w:t>
      </w:r>
      <w:proofErr w:type="gramEnd"/>
      <w:r w:rsidR="008E1395" w:rsidRPr="00426D49">
        <w:rPr>
          <w:iCs/>
          <w:kern w:val="2"/>
          <w:lang w:eastAsia="zh-CN"/>
        </w:rPr>
        <w:t>cc2,1) be overridden again to CB(cc1,2) ?  In that case we are indirectly changing the (sub</w:t>
      </w:r>
      <w:r>
        <w:rPr>
          <w:iCs/>
          <w:kern w:val="2"/>
          <w:lang w:eastAsia="zh-CN"/>
        </w:rPr>
        <w:t>-</w:t>
      </w:r>
      <w:proofErr w:type="gramStart"/>
      <w:r w:rsidR="008E1395" w:rsidRPr="00426D49">
        <w:rPr>
          <w:iCs/>
          <w:kern w:val="2"/>
          <w:lang w:eastAsia="zh-CN"/>
        </w:rPr>
        <w:t>)slot</w:t>
      </w:r>
      <w:proofErr w:type="gramEnd"/>
      <w:r w:rsidR="008E1395" w:rsidRPr="00426D49">
        <w:rPr>
          <w:iCs/>
          <w:kern w:val="2"/>
          <w:lang w:eastAsia="zh-CN"/>
        </w:rPr>
        <w:t xml:space="preserve"> on CC1. </w:t>
      </w:r>
    </w:p>
    <w:p w14:paraId="208C18A7" w14:textId="3CA47A20" w:rsidR="00BA22C5" w:rsidRDefault="00BA22C5" w:rsidP="00206795">
      <w:pPr>
        <w:spacing w:beforeLines="50" w:before="120"/>
        <w:rPr>
          <w:iCs/>
          <w:kern w:val="2"/>
          <w:lang w:eastAsia="zh-CN"/>
        </w:rPr>
      </w:pPr>
      <w:r>
        <w:rPr>
          <w:iCs/>
          <w:noProof/>
          <w:kern w:val="2"/>
          <w:lang w:val="en-GB" w:eastAsia="zh-CN"/>
        </w:rPr>
        <w:drawing>
          <wp:inline distT="0" distB="0" distL="0" distR="0" wp14:anchorId="36B99D96" wp14:editId="0FECFC08">
            <wp:extent cx="6007633" cy="183983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8382" cy="1861501"/>
                    </a:xfrm>
                    <a:prstGeom prst="rect">
                      <a:avLst/>
                    </a:prstGeom>
                    <a:noFill/>
                  </pic:spPr>
                </pic:pic>
              </a:graphicData>
            </a:graphic>
          </wp:inline>
        </w:drawing>
      </w:r>
    </w:p>
    <w:p w14:paraId="13362DE5" w14:textId="061AFA5E" w:rsidR="00BA22C5" w:rsidRDefault="00426D49" w:rsidP="00206795">
      <w:pPr>
        <w:spacing w:beforeLines="50" w:before="120"/>
        <w:rPr>
          <w:iCs/>
          <w:kern w:val="2"/>
          <w:lang w:eastAsia="zh-CN"/>
        </w:rPr>
      </w:pPr>
      <w:r>
        <w:rPr>
          <w:iCs/>
          <w:kern w:val="2"/>
          <w:lang w:eastAsia="zh-CN"/>
        </w:rPr>
        <w:t xml:space="preserve"> </w:t>
      </w:r>
    </w:p>
    <w:p w14:paraId="01E46FBB" w14:textId="51162A08" w:rsidR="00206795" w:rsidRDefault="00426D49" w:rsidP="00325043">
      <w:pPr>
        <w:jc w:val="both"/>
        <w:rPr>
          <w:rFonts w:eastAsia="Malgun Gothic"/>
          <w:bCs/>
          <w:iCs/>
          <w:kern w:val="2"/>
          <w:lang w:eastAsia="ko-KR"/>
        </w:rPr>
      </w:pPr>
      <w:r>
        <w:rPr>
          <w:rFonts w:eastAsia="Malgun Gothic"/>
          <w:bCs/>
          <w:iCs/>
          <w:kern w:val="2"/>
          <w:lang w:eastAsia="ko-KR"/>
        </w:rPr>
        <w:t>Multiple carriers switching can lead to going back to the same carrier which is similar to postponing the PUCCH transmission which shouldn’t create any issue.</w:t>
      </w:r>
    </w:p>
    <w:p w14:paraId="53006456" w14:textId="77777777" w:rsidR="00426D49" w:rsidRPr="00206795" w:rsidRDefault="00426D49" w:rsidP="00325043">
      <w:pPr>
        <w:jc w:val="both"/>
        <w:rPr>
          <w:rFonts w:eastAsia="Malgun Gothic"/>
          <w:bCs/>
          <w:iCs/>
          <w:kern w:val="2"/>
          <w:lang w:eastAsia="ko-KR"/>
        </w:rPr>
      </w:pPr>
    </w:p>
    <w:p w14:paraId="03874C89" w14:textId="77777777" w:rsidR="00426D49" w:rsidRPr="003269B4" w:rsidRDefault="00426D49" w:rsidP="00426D49">
      <w:pPr>
        <w:rPr>
          <w:b/>
        </w:rPr>
      </w:pPr>
    </w:p>
    <w:p w14:paraId="788FD9B7" w14:textId="1481DF0D" w:rsidR="00426D49" w:rsidRPr="003269B4" w:rsidRDefault="00426D49" w:rsidP="00426D49">
      <w:pPr>
        <w:pStyle w:val="ListParagraph"/>
        <w:numPr>
          <w:ilvl w:val="0"/>
          <w:numId w:val="3"/>
        </w:numPr>
        <w:spacing w:after="0" w:line="240" w:lineRule="auto"/>
        <w:contextualSpacing w:val="0"/>
        <w:jc w:val="both"/>
        <w:rPr>
          <w:lang w:val="en-GB"/>
        </w:rPr>
      </w:pPr>
      <w:r>
        <w:rPr>
          <w:rFonts w:ascii="Times New Roman" w:eastAsia="PMingLiU" w:hAnsi="Times New Roman" w:cs="Times New Roman"/>
          <w:b/>
          <w:bCs/>
          <w:i/>
          <w:szCs w:val="20"/>
          <w:lang w:val="en-GB"/>
        </w:rPr>
        <w:t xml:space="preserve">Multiple carriers switching leading to the same initial carrier is allowed. </w:t>
      </w:r>
    </w:p>
    <w:p w14:paraId="4D88AD66" w14:textId="77777777" w:rsidR="00325043" w:rsidRDefault="00325043" w:rsidP="00C76835">
      <w:pPr>
        <w:pStyle w:val="ListParagraph"/>
        <w:spacing w:after="0" w:line="240" w:lineRule="auto"/>
        <w:ind w:left="0"/>
        <w:contextualSpacing w:val="0"/>
        <w:jc w:val="both"/>
        <w:rPr>
          <w:rFonts w:ascii="Times New Roman" w:eastAsia="PMingLiU" w:hAnsi="Times New Roman" w:cs="Times New Roman"/>
          <w:b/>
          <w:bCs/>
          <w:i/>
          <w:strike/>
          <w:szCs w:val="20"/>
          <w:lang w:val="en-GB"/>
        </w:rPr>
      </w:pPr>
    </w:p>
    <w:p w14:paraId="52C84F94" w14:textId="77777777" w:rsidR="00301A7B" w:rsidRPr="005A6B84" w:rsidRDefault="00301A7B" w:rsidP="005A6B84">
      <w:pPr>
        <w:pStyle w:val="ListParagraph"/>
        <w:jc w:val="both"/>
        <w:rPr>
          <w:rFonts w:eastAsia="PMingLiU" w:cs="Times New Roman"/>
          <w:b/>
          <w:lang w:val="en-GB"/>
        </w:rPr>
      </w:pPr>
    </w:p>
    <w:p w14:paraId="005AD962" w14:textId="6BAED432" w:rsidR="006A5A94" w:rsidRDefault="005A6B84" w:rsidP="008E1395">
      <w:pPr>
        <w:pStyle w:val="ListParagraph"/>
        <w:numPr>
          <w:ilvl w:val="0"/>
          <w:numId w:val="6"/>
        </w:numPr>
        <w:jc w:val="both"/>
        <w:rPr>
          <w:rFonts w:eastAsia="PMingLiU" w:cs="Times New Roman"/>
          <w:b/>
          <w:lang w:val="en-GB"/>
        </w:rPr>
      </w:pPr>
      <w:r w:rsidRPr="005A6B84">
        <w:rPr>
          <w:rFonts w:eastAsia="PMingLiU" w:cs="Times New Roman"/>
          <w:b/>
          <w:lang w:val="en-GB"/>
        </w:rPr>
        <w:t xml:space="preserve">Intra-UE multiplexing with dynamic PUCCH </w:t>
      </w:r>
    </w:p>
    <w:p w14:paraId="707C30FC" w14:textId="77777777" w:rsidR="00190BA0" w:rsidRDefault="00190BA0" w:rsidP="00190BA0">
      <w:pPr>
        <w:ind w:left="360"/>
        <w:jc w:val="both"/>
        <w:rPr>
          <w:rFonts w:eastAsia="Malgun Gothic"/>
          <w:bCs/>
          <w:iCs/>
          <w:kern w:val="2"/>
          <w:lang w:eastAsia="ko-KR"/>
        </w:rPr>
      </w:pPr>
    </w:p>
    <w:p w14:paraId="7366B9E4" w14:textId="39450FBF" w:rsidR="005A6B84" w:rsidRPr="00190BA0" w:rsidRDefault="00190BA0" w:rsidP="00190BA0">
      <w:pPr>
        <w:pStyle w:val="ListParagraph"/>
        <w:numPr>
          <w:ilvl w:val="0"/>
          <w:numId w:val="3"/>
        </w:numPr>
        <w:spacing w:after="0" w:line="240" w:lineRule="auto"/>
        <w:contextualSpacing w:val="0"/>
        <w:jc w:val="both"/>
        <w:rPr>
          <w:rFonts w:eastAsia="Malgun Gothic"/>
          <w:bCs/>
          <w:iCs/>
          <w:kern w:val="2"/>
          <w:lang w:eastAsia="ko-KR"/>
        </w:rPr>
      </w:pPr>
      <w:r w:rsidRPr="00190BA0">
        <w:rPr>
          <w:rFonts w:ascii="Times New Roman" w:eastAsia="PMingLiU" w:hAnsi="Times New Roman" w:cs="Times New Roman"/>
          <w:b/>
          <w:bCs/>
          <w:i/>
          <w:szCs w:val="20"/>
          <w:lang w:val="en-GB"/>
        </w:rPr>
        <w:t xml:space="preserve"> </w:t>
      </w:r>
      <w:r w:rsidR="008E1395" w:rsidRPr="00190BA0">
        <w:rPr>
          <w:rFonts w:ascii="Times New Roman" w:eastAsia="PMingLiU" w:hAnsi="Times New Roman" w:cs="Times New Roman"/>
          <w:b/>
          <w:bCs/>
          <w:i/>
          <w:szCs w:val="20"/>
          <w:lang w:val="en-GB"/>
        </w:rPr>
        <w:t xml:space="preserve">If </w:t>
      </w:r>
      <w:r w:rsidR="001C4FC8">
        <w:rPr>
          <w:rFonts w:ascii="Times New Roman" w:eastAsia="PMingLiU" w:hAnsi="Times New Roman" w:cs="Times New Roman"/>
          <w:b/>
          <w:bCs/>
          <w:i/>
          <w:szCs w:val="20"/>
          <w:lang w:val="en-GB"/>
        </w:rPr>
        <w:t>LP-</w:t>
      </w:r>
      <w:r w:rsidR="008E1395" w:rsidRPr="00190BA0">
        <w:rPr>
          <w:rFonts w:ascii="Times New Roman" w:eastAsia="PMingLiU" w:hAnsi="Times New Roman" w:cs="Times New Roman"/>
          <w:b/>
          <w:bCs/>
          <w:i/>
          <w:szCs w:val="20"/>
          <w:lang w:val="en-GB"/>
        </w:rPr>
        <w:t>PUCCH transmission is overlapping with HP-</w:t>
      </w:r>
      <w:r w:rsidR="005A6B84" w:rsidRPr="00190BA0">
        <w:rPr>
          <w:rFonts w:ascii="Times New Roman" w:eastAsia="PMingLiU" w:hAnsi="Times New Roman" w:cs="Times New Roman"/>
          <w:b/>
          <w:bCs/>
          <w:i/>
          <w:szCs w:val="20"/>
          <w:lang w:val="en-GB"/>
        </w:rPr>
        <w:t>CG-</w:t>
      </w:r>
      <w:r w:rsidR="008E1395" w:rsidRPr="00190BA0">
        <w:rPr>
          <w:rFonts w:ascii="Times New Roman" w:eastAsia="PMingLiU" w:hAnsi="Times New Roman" w:cs="Times New Roman"/>
          <w:b/>
          <w:bCs/>
          <w:i/>
          <w:szCs w:val="20"/>
          <w:lang w:val="en-GB"/>
        </w:rPr>
        <w:t xml:space="preserve">PUSCH, </w:t>
      </w:r>
      <w:r w:rsidR="005A6B84" w:rsidRPr="00190BA0">
        <w:rPr>
          <w:rFonts w:ascii="Times New Roman" w:eastAsia="PMingLiU" w:hAnsi="Times New Roman" w:cs="Times New Roman"/>
          <w:b/>
          <w:bCs/>
          <w:i/>
          <w:szCs w:val="20"/>
          <w:lang w:val="en-GB"/>
        </w:rPr>
        <w:t xml:space="preserve">the UE prioritizes the transmission of PUSCH and the </w:t>
      </w:r>
      <w:proofErr w:type="spellStart"/>
      <w:r w:rsidR="005A6B84" w:rsidRPr="00190BA0">
        <w:rPr>
          <w:rFonts w:ascii="Times New Roman" w:eastAsia="PMingLiU" w:hAnsi="Times New Roman" w:cs="Times New Roman"/>
          <w:b/>
          <w:bCs/>
          <w:i/>
          <w:szCs w:val="20"/>
          <w:lang w:val="en-GB"/>
        </w:rPr>
        <w:t>gNB</w:t>
      </w:r>
      <w:proofErr w:type="spellEnd"/>
      <w:r w:rsidR="005A6B84" w:rsidRPr="00190BA0">
        <w:rPr>
          <w:rFonts w:ascii="Times New Roman" w:eastAsia="PMingLiU" w:hAnsi="Times New Roman" w:cs="Times New Roman"/>
          <w:b/>
          <w:bCs/>
          <w:i/>
          <w:szCs w:val="20"/>
          <w:lang w:val="en-GB"/>
        </w:rPr>
        <w:t xml:space="preserve"> needs to re-schedule the PUCCH transmission on different or same carrier. </w:t>
      </w:r>
      <w:r w:rsidR="001C4FC8">
        <w:rPr>
          <w:rFonts w:ascii="Times New Roman" w:eastAsia="PMingLiU" w:hAnsi="Times New Roman" w:cs="Times New Roman"/>
          <w:b/>
          <w:bCs/>
          <w:i/>
          <w:szCs w:val="20"/>
          <w:lang w:val="en-GB"/>
        </w:rPr>
        <w:t>For HP-PUCCH re-use Rel-16 prioritization rules.</w:t>
      </w:r>
    </w:p>
    <w:p w14:paraId="16B0507B" w14:textId="1FA75F3F" w:rsidR="006A5A94" w:rsidRPr="005A6B84" w:rsidRDefault="005A6B84" w:rsidP="005A6B84">
      <w:pPr>
        <w:ind w:left="360"/>
        <w:jc w:val="both"/>
        <w:rPr>
          <w:rFonts w:eastAsia="Malgun Gothic"/>
          <w:bCs/>
          <w:iCs/>
          <w:kern w:val="2"/>
          <w:lang w:eastAsia="ko-KR"/>
        </w:rPr>
      </w:pPr>
      <w:r>
        <w:rPr>
          <w:rFonts w:eastAsia="Malgun Gothic"/>
          <w:bCs/>
          <w:iCs/>
          <w:kern w:val="2"/>
          <w:lang w:eastAsia="ko-KR"/>
        </w:rPr>
        <w:t xml:space="preserve"> </w:t>
      </w:r>
    </w:p>
    <w:p w14:paraId="6AB13471" w14:textId="77777777" w:rsidR="005A6B84" w:rsidRPr="005A6B84" w:rsidRDefault="005A6B84" w:rsidP="005A6B84">
      <w:pPr>
        <w:jc w:val="both"/>
        <w:rPr>
          <w:b/>
          <w:lang w:val="en-GB"/>
        </w:rPr>
      </w:pPr>
    </w:p>
    <w:p w14:paraId="7EA1B85F" w14:textId="19D79605" w:rsidR="00190BA0" w:rsidRPr="00190BA0" w:rsidRDefault="00190BA0" w:rsidP="008E1395">
      <w:pPr>
        <w:pStyle w:val="ListParagraph"/>
        <w:numPr>
          <w:ilvl w:val="0"/>
          <w:numId w:val="6"/>
        </w:numPr>
        <w:jc w:val="both"/>
        <w:rPr>
          <w:rFonts w:eastAsia="PMingLiU"/>
          <w:b/>
          <w:lang w:val="en-GB"/>
        </w:rPr>
      </w:pPr>
      <w:r w:rsidRPr="00190BA0">
        <w:rPr>
          <w:rFonts w:eastAsia="PMingLiU"/>
          <w:b/>
          <w:lang w:val="en-GB"/>
        </w:rPr>
        <w:t>HARQ-ACK codebook per PUCCH group or PUCCH carrier</w:t>
      </w:r>
    </w:p>
    <w:p w14:paraId="50903C6C" w14:textId="422B0778" w:rsidR="00190BA0" w:rsidRDefault="00190BA0" w:rsidP="00190BA0">
      <w:pPr>
        <w:jc w:val="both"/>
        <w:rPr>
          <w:rFonts w:eastAsia="Malgun Gothic"/>
          <w:bCs/>
          <w:iCs/>
          <w:kern w:val="2"/>
          <w:lang w:eastAsia="ko-KR"/>
        </w:rPr>
      </w:pPr>
      <w:r w:rsidRPr="00190BA0">
        <w:rPr>
          <w:rFonts w:eastAsia="Malgun Gothic"/>
          <w:bCs/>
          <w:iCs/>
          <w:kern w:val="2"/>
          <w:lang w:eastAsia="ko-KR"/>
        </w:rPr>
        <w:t>With a PUCCH configuration per PUCCH carrier, the HARQ-ACK codebook could be</w:t>
      </w:r>
      <w:r>
        <w:rPr>
          <w:rFonts w:eastAsia="Malgun Gothic"/>
          <w:bCs/>
          <w:iCs/>
          <w:kern w:val="2"/>
          <w:lang w:eastAsia="ko-KR"/>
        </w:rPr>
        <w:t xml:space="preserve">: </w:t>
      </w:r>
    </w:p>
    <w:p w14:paraId="295D32F8" w14:textId="461284D9" w:rsidR="00190BA0" w:rsidRPr="00190BA0" w:rsidRDefault="00190BA0" w:rsidP="00190BA0">
      <w:pPr>
        <w:jc w:val="both"/>
        <w:rPr>
          <w:rFonts w:eastAsia="Malgun Gothic"/>
          <w:bCs/>
          <w:iCs/>
          <w:kern w:val="2"/>
          <w:lang w:eastAsia="ko-KR"/>
        </w:rPr>
      </w:pPr>
      <w:r w:rsidRPr="00CA3B60">
        <w:rPr>
          <w:rFonts w:eastAsia="Malgun Gothic"/>
          <w:b/>
          <w:bCs/>
          <w:iCs/>
          <w:kern w:val="2"/>
          <w:u w:val="single"/>
          <w:lang w:eastAsia="ko-KR"/>
        </w:rPr>
        <w:t>Option 1:</w:t>
      </w:r>
      <w:r w:rsidRPr="00190BA0">
        <w:rPr>
          <w:rFonts w:eastAsia="Malgun Gothic"/>
          <w:bCs/>
          <w:iCs/>
          <w:kern w:val="2"/>
          <w:lang w:eastAsia="ko-KR"/>
        </w:rPr>
        <w:t xml:space="preserve">  defined per PUCCH group (Rel-16) </w:t>
      </w:r>
    </w:p>
    <w:p w14:paraId="77791A60" w14:textId="77777777" w:rsidR="00190BA0" w:rsidRPr="00190BA0" w:rsidRDefault="00190BA0" w:rsidP="008E1395">
      <w:pPr>
        <w:numPr>
          <w:ilvl w:val="0"/>
          <w:numId w:val="6"/>
        </w:numPr>
        <w:jc w:val="both"/>
        <w:rPr>
          <w:rFonts w:eastAsia="Malgun Gothic"/>
          <w:bCs/>
          <w:iCs/>
          <w:kern w:val="2"/>
          <w:lang w:eastAsia="ko-KR"/>
        </w:rPr>
      </w:pPr>
      <w:r w:rsidRPr="00190BA0">
        <w:rPr>
          <w:rFonts w:eastAsia="Malgun Gothic"/>
          <w:bCs/>
          <w:iCs/>
          <w:kern w:val="2"/>
          <w:lang w:eastAsia="ko-KR"/>
        </w:rPr>
        <w:t>only one PUCCH at a time and carrier is dynamic</w:t>
      </w:r>
    </w:p>
    <w:p w14:paraId="7BF5BD3F" w14:textId="77777777" w:rsidR="00190BA0" w:rsidRPr="00190BA0" w:rsidRDefault="00190BA0" w:rsidP="00190BA0">
      <w:pPr>
        <w:jc w:val="both"/>
        <w:rPr>
          <w:rFonts w:eastAsia="Malgun Gothic"/>
          <w:bCs/>
          <w:iCs/>
          <w:kern w:val="2"/>
          <w:lang w:eastAsia="ko-KR"/>
        </w:rPr>
      </w:pPr>
      <w:r w:rsidRPr="00CA3B60">
        <w:rPr>
          <w:rFonts w:eastAsia="Malgun Gothic"/>
          <w:b/>
          <w:bCs/>
          <w:iCs/>
          <w:kern w:val="2"/>
          <w:u w:val="single"/>
          <w:lang w:eastAsia="ko-KR"/>
        </w:rPr>
        <w:t>Option 2:</w:t>
      </w:r>
      <w:r w:rsidRPr="00190BA0">
        <w:rPr>
          <w:rFonts w:eastAsia="Malgun Gothic"/>
          <w:bCs/>
          <w:iCs/>
          <w:kern w:val="2"/>
          <w:lang w:eastAsia="ko-KR"/>
        </w:rPr>
        <w:t xml:space="preserve"> defined pe</w:t>
      </w:r>
      <w:bookmarkStart w:id="4" w:name="_GoBack"/>
      <w:bookmarkEnd w:id="4"/>
      <w:r w:rsidRPr="00190BA0">
        <w:rPr>
          <w:rFonts w:eastAsia="Malgun Gothic"/>
          <w:bCs/>
          <w:iCs/>
          <w:kern w:val="2"/>
          <w:lang w:eastAsia="ko-KR"/>
        </w:rPr>
        <w:t>r PUCCH carrier. Within the same PUCCH group, HARQ-ACK codebooks as much as the number of PUCCH carriers.</w:t>
      </w:r>
    </w:p>
    <w:p w14:paraId="1D6A1B24" w14:textId="77777777" w:rsidR="00190BA0" w:rsidRPr="00190BA0" w:rsidRDefault="00190BA0" w:rsidP="00CA3B60">
      <w:pPr>
        <w:numPr>
          <w:ilvl w:val="0"/>
          <w:numId w:val="6"/>
        </w:numPr>
        <w:jc w:val="both"/>
        <w:rPr>
          <w:rFonts w:eastAsia="Malgun Gothic"/>
          <w:bCs/>
          <w:iCs/>
          <w:kern w:val="2"/>
          <w:lang w:eastAsia="ko-KR"/>
        </w:rPr>
      </w:pPr>
      <w:r w:rsidRPr="00190BA0">
        <w:rPr>
          <w:rFonts w:eastAsia="Malgun Gothic"/>
          <w:bCs/>
          <w:iCs/>
          <w:kern w:val="2"/>
          <w:lang w:eastAsia="ko-KR"/>
        </w:rPr>
        <w:lastRenderedPageBreak/>
        <w:t>Complexity of having multiple CBs in parallel.</w:t>
      </w:r>
    </w:p>
    <w:p w14:paraId="0A9FF44C" w14:textId="35B6D58B" w:rsidR="00190BA0" w:rsidRPr="00190BA0" w:rsidRDefault="00190BA0" w:rsidP="00CA3B60">
      <w:pPr>
        <w:numPr>
          <w:ilvl w:val="0"/>
          <w:numId w:val="6"/>
        </w:numPr>
        <w:jc w:val="both"/>
        <w:rPr>
          <w:rFonts w:eastAsia="Malgun Gothic"/>
          <w:bCs/>
          <w:iCs/>
          <w:kern w:val="2"/>
          <w:lang w:eastAsia="ko-KR"/>
        </w:rPr>
      </w:pPr>
      <w:r w:rsidRPr="00190BA0">
        <w:rPr>
          <w:rFonts w:eastAsia="Malgun Gothic"/>
          <w:bCs/>
          <w:iCs/>
          <w:kern w:val="2"/>
          <w:lang w:eastAsia="ko-KR"/>
        </w:rPr>
        <w:t>If there is overlap in time, the UE will have issue in transmitting simultaneous PUCCH</w:t>
      </w:r>
      <w:r>
        <w:rPr>
          <w:rFonts w:eastAsia="Malgun Gothic"/>
          <w:bCs/>
          <w:iCs/>
          <w:kern w:val="2"/>
          <w:lang w:eastAsia="ko-KR"/>
        </w:rPr>
        <w:t>s</w:t>
      </w:r>
      <w:r w:rsidRPr="00190BA0">
        <w:rPr>
          <w:rFonts w:eastAsia="Malgun Gothic"/>
          <w:bCs/>
          <w:iCs/>
          <w:kern w:val="2"/>
          <w:lang w:eastAsia="ko-KR"/>
        </w:rPr>
        <w:t xml:space="preserve">. </w:t>
      </w:r>
      <w:r>
        <w:rPr>
          <w:rFonts w:eastAsia="Malgun Gothic"/>
          <w:bCs/>
          <w:iCs/>
          <w:kern w:val="2"/>
          <w:lang w:eastAsia="ko-KR"/>
        </w:rPr>
        <w:t xml:space="preserve">But this can be </w:t>
      </w:r>
      <w:r w:rsidRPr="00190BA0">
        <w:rPr>
          <w:rFonts w:eastAsia="Malgun Gothic"/>
          <w:bCs/>
          <w:iCs/>
          <w:kern w:val="2"/>
          <w:lang w:eastAsia="ko-KR"/>
        </w:rPr>
        <w:t>avoid</w:t>
      </w:r>
      <w:r>
        <w:rPr>
          <w:rFonts w:eastAsia="Malgun Gothic"/>
          <w:bCs/>
          <w:iCs/>
          <w:kern w:val="2"/>
          <w:lang w:eastAsia="ko-KR"/>
        </w:rPr>
        <w:t>ed</w:t>
      </w:r>
      <w:r w:rsidRPr="00190BA0">
        <w:rPr>
          <w:rFonts w:eastAsia="Malgun Gothic"/>
          <w:bCs/>
          <w:iCs/>
          <w:kern w:val="2"/>
          <w:lang w:eastAsia="ko-KR"/>
        </w:rPr>
        <w:t xml:space="preserve"> by </w:t>
      </w:r>
      <w:r>
        <w:rPr>
          <w:rFonts w:eastAsia="Malgun Gothic"/>
          <w:bCs/>
          <w:iCs/>
          <w:kern w:val="2"/>
          <w:lang w:eastAsia="ko-KR"/>
        </w:rPr>
        <w:t>defining some</w:t>
      </w:r>
      <w:r w:rsidRPr="00190BA0">
        <w:rPr>
          <w:rFonts w:eastAsia="Malgun Gothic"/>
          <w:bCs/>
          <w:iCs/>
          <w:kern w:val="2"/>
          <w:lang w:eastAsia="ko-KR"/>
        </w:rPr>
        <w:t xml:space="preserve"> restrictions.</w:t>
      </w:r>
    </w:p>
    <w:p w14:paraId="590DB19B" w14:textId="77777777" w:rsidR="00301A7B" w:rsidRDefault="00301A7B" w:rsidP="00301A7B">
      <w:pPr>
        <w:ind w:left="360"/>
        <w:jc w:val="both"/>
        <w:rPr>
          <w:rFonts w:eastAsia="Malgun Gothic"/>
          <w:bCs/>
          <w:iCs/>
          <w:kern w:val="2"/>
          <w:lang w:eastAsia="ko-KR"/>
        </w:rPr>
      </w:pPr>
    </w:p>
    <w:p w14:paraId="38BD0DFF" w14:textId="598E8564" w:rsidR="00301A7B" w:rsidRPr="00301A7B" w:rsidRDefault="00301A7B" w:rsidP="00301A7B">
      <w:pPr>
        <w:pStyle w:val="ListParagraph"/>
        <w:numPr>
          <w:ilvl w:val="0"/>
          <w:numId w:val="3"/>
        </w:numPr>
        <w:spacing w:after="0" w:line="240" w:lineRule="auto"/>
        <w:contextualSpacing w:val="0"/>
        <w:jc w:val="both"/>
        <w:rPr>
          <w:rFonts w:eastAsia="Malgun Gothic"/>
          <w:bCs/>
          <w:iCs/>
          <w:kern w:val="2"/>
          <w:lang w:eastAsia="ko-KR"/>
        </w:rPr>
      </w:pPr>
      <w:r w:rsidRPr="00301A7B">
        <w:rPr>
          <w:rFonts w:ascii="Times New Roman" w:eastAsia="PMingLiU" w:hAnsi="Times New Roman" w:cs="Times New Roman"/>
          <w:b/>
          <w:bCs/>
          <w:i/>
          <w:szCs w:val="20"/>
          <w:lang w:val="en-GB"/>
        </w:rPr>
        <w:t>HARQ-ACK codebook per PUCCH carrier</w:t>
      </w:r>
      <w:r>
        <w:rPr>
          <w:rFonts w:ascii="Times New Roman" w:eastAsia="PMingLiU" w:hAnsi="Times New Roman" w:cs="Times New Roman"/>
          <w:b/>
          <w:bCs/>
          <w:i/>
          <w:szCs w:val="20"/>
          <w:lang w:val="en-GB"/>
        </w:rPr>
        <w:t xml:space="preserve"> to be supported. </w:t>
      </w:r>
    </w:p>
    <w:p w14:paraId="7B21D02E" w14:textId="77777777" w:rsidR="00301A7B" w:rsidRPr="00301A7B" w:rsidRDefault="00301A7B" w:rsidP="00301A7B">
      <w:pPr>
        <w:pStyle w:val="ListParagraph"/>
        <w:spacing w:after="0" w:line="240" w:lineRule="auto"/>
        <w:ind w:left="0"/>
        <w:contextualSpacing w:val="0"/>
        <w:jc w:val="both"/>
        <w:rPr>
          <w:rFonts w:eastAsia="Malgun Gothic"/>
          <w:bCs/>
          <w:iCs/>
          <w:kern w:val="2"/>
          <w:lang w:val="en-GB" w:eastAsia="ko-KR"/>
        </w:rPr>
      </w:pPr>
    </w:p>
    <w:p w14:paraId="6C9AB20C" w14:textId="77777777" w:rsidR="00301A7B" w:rsidRPr="005A6B84" w:rsidRDefault="00301A7B" w:rsidP="00301A7B">
      <w:pPr>
        <w:ind w:left="360"/>
        <w:jc w:val="both"/>
        <w:rPr>
          <w:rFonts w:eastAsia="Malgun Gothic"/>
          <w:bCs/>
          <w:iCs/>
          <w:kern w:val="2"/>
          <w:lang w:eastAsia="ko-KR"/>
        </w:rPr>
      </w:pPr>
      <w:r>
        <w:rPr>
          <w:rFonts w:eastAsia="Malgun Gothic"/>
          <w:bCs/>
          <w:iCs/>
          <w:kern w:val="2"/>
          <w:lang w:eastAsia="ko-KR"/>
        </w:rPr>
        <w:t xml:space="preserve"> </w:t>
      </w:r>
    </w:p>
    <w:p w14:paraId="1E41824E" w14:textId="2F81CAA0" w:rsidR="001F5046" w:rsidRPr="003269B4" w:rsidRDefault="001F5046" w:rsidP="0051423F">
      <w:pPr>
        <w:pStyle w:val="Heading1"/>
        <w:jc w:val="both"/>
        <w:rPr>
          <w:lang w:val="en-US"/>
        </w:rPr>
      </w:pPr>
      <w:r w:rsidRPr="003269B4">
        <w:rPr>
          <w:lang w:val="en-US" w:eastAsia="zh-TW"/>
        </w:rPr>
        <w:t>Conclusion</w:t>
      </w:r>
    </w:p>
    <w:p w14:paraId="0C8C116E" w14:textId="6231CF24" w:rsidR="004A2178" w:rsidRDefault="004002CE" w:rsidP="006748DE">
      <w:pPr>
        <w:spacing w:after="120"/>
        <w:jc w:val="both"/>
        <w:textAlignment w:val="center"/>
      </w:pPr>
      <w:r w:rsidRPr="003269B4">
        <w:t>In this contribution,</w:t>
      </w:r>
      <w:r w:rsidR="000129EC" w:rsidRPr="003269B4">
        <w:t xml:space="preserve"> we have made </w:t>
      </w:r>
      <w:r w:rsidR="004A2178" w:rsidRPr="003269B4">
        <w:t>the following</w:t>
      </w:r>
      <w:r w:rsidR="00BB28F6" w:rsidRPr="003269B4">
        <w:t xml:space="preserve"> </w:t>
      </w:r>
      <w:r w:rsidR="004A2178" w:rsidRPr="003269B4">
        <w:t>proposals:</w:t>
      </w:r>
    </w:p>
    <w:p w14:paraId="6E176F72" w14:textId="77777777" w:rsidR="008E1395" w:rsidRPr="003269B4" w:rsidRDefault="008E1395" w:rsidP="008E1395">
      <w:pPr>
        <w:jc w:val="both"/>
        <w:rPr>
          <w:sz w:val="24"/>
        </w:rPr>
      </w:pPr>
    </w:p>
    <w:p w14:paraId="141B5CDB" w14:textId="77777777" w:rsidR="008E1395" w:rsidRPr="003269B4" w:rsidRDefault="008E1395" w:rsidP="008E1395">
      <w:pPr>
        <w:pStyle w:val="ListParagraph"/>
        <w:numPr>
          <w:ilvl w:val="0"/>
          <w:numId w:val="8"/>
        </w:numPr>
        <w:spacing w:after="0" w:line="240" w:lineRule="auto"/>
        <w:contextualSpacing w:val="0"/>
        <w:jc w:val="both"/>
        <w:rPr>
          <w:rFonts w:ascii="Times New Roman" w:eastAsia="PMingLiU" w:hAnsi="Times New Roman" w:cs="Times New Roman"/>
          <w:b/>
          <w:i/>
          <w:szCs w:val="20"/>
          <w:lang w:val="en-GB"/>
        </w:rPr>
      </w:pPr>
      <w:r w:rsidRPr="003269B4">
        <w:rPr>
          <w:rFonts w:ascii="Times New Roman" w:eastAsia="PMingLiU" w:hAnsi="Times New Roman" w:cs="Times New Roman"/>
          <w:b/>
          <w:i/>
          <w:szCs w:val="20"/>
          <w:lang w:val="en-GB"/>
        </w:rPr>
        <w:t>Support the dynamic PUCCH carrier switching for scheduled PUCCH and support the semi-static PUCCH cell timing pattern for configured SPS HARQ-ACK PUCCH.</w:t>
      </w:r>
    </w:p>
    <w:p w14:paraId="78C5FB85" w14:textId="77777777" w:rsidR="008E1395" w:rsidRDefault="008E1395" w:rsidP="008E1395">
      <w:pPr>
        <w:rPr>
          <w:lang w:val="en-GB"/>
        </w:rPr>
      </w:pPr>
    </w:p>
    <w:p w14:paraId="5E4F25D6" w14:textId="77777777" w:rsidR="008E1395" w:rsidRPr="003269B4" w:rsidRDefault="008E1395" w:rsidP="008E1395">
      <w:pPr>
        <w:jc w:val="both"/>
        <w:rPr>
          <w:sz w:val="24"/>
        </w:rPr>
      </w:pPr>
    </w:p>
    <w:p w14:paraId="1D6B5AC9" w14:textId="77777777" w:rsidR="008E1395" w:rsidRPr="003269B4" w:rsidRDefault="008E1395" w:rsidP="008E1395">
      <w:pPr>
        <w:pStyle w:val="ListParagraph"/>
        <w:numPr>
          <w:ilvl w:val="0"/>
          <w:numId w:val="8"/>
        </w:numPr>
        <w:spacing w:after="0" w:line="240" w:lineRule="auto"/>
        <w:contextualSpacing w:val="0"/>
        <w:jc w:val="both"/>
        <w:rPr>
          <w:rFonts w:ascii="Times New Roman" w:eastAsia="PMingLiU" w:hAnsi="Times New Roman" w:cs="Times New Roman"/>
          <w:b/>
          <w:bCs/>
          <w:i/>
          <w:szCs w:val="20"/>
          <w:lang w:val="en-GB"/>
        </w:rPr>
      </w:pPr>
      <w:r w:rsidRPr="003269B4">
        <w:rPr>
          <w:rFonts w:ascii="Times New Roman" w:eastAsia="PMingLiU" w:hAnsi="Times New Roman" w:cs="Times New Roman"/>
          <w:b/>
          <w:i/>
          <w:szCs w:val="20"/>
          <w:lang w:val="en-GB"/>
        </w:rPr>
        <w:t>Support of the dynamic</w:t>
      </w:r>
      <w:r w:rsidRPr="003269B4">
        <w:rPr>
          <w:rFonts w:ascii="Times New Roman" w:eastAsia="PMingLiU" w:hAnsi="Times New Roman" w:cs="Times New Roman"/>
          <w:b/>
          <w:bCs/>
          <w:i/>
          <w:szCs w:val="20"/>
          <w:lang w:val="en-US"/>
        </w:rPr>
        <w:t xml:space="preserve"> indication in the triggering DCI by including </w:t>
      </w:r>
      <w:r w:rsidRPr="003269B4">
        <w:rPr>
          <w:rFonts w:ascii="Times New Roman" w:eastAsia="PMingLiU" w:hAnsi="Times New Roman" w:cs="Times New Roman"/>
          <w:b/>
          <w:bCs/>
          <w:i/>
          <w:szCs w:val="20"/>
        </w:rPr>
        <w:t>a new DCI field for the carrier switching indication</w:t>
      </w:r>
    </w:p>
    <w:p w14:paraId="3A8694E8" w14:textId="77777777" w:rsidR="008E1395" w:rsidRPr="003269B4" w:rsidRDefault="008E1395" w:rsidP="008E1395">
      <w:pPr>
        <w:jc w:val="both"/>
        <w:rPr>
          <w:sz w:val="24"/>
        </w:rPr>
      </w:pPr>
    </w:p>
    <w:p w14:paraId="580B517C" w14:textId="77777777" w:rsidR="008E1395" w:rsidRPr="003269B4" w:rsidRDefault="008E1395" w:rsidP="008E1395">
      <w:pPr>
        <w:pStyle w:val="ListParagraph"/>
        <w:numPr>
          <w:ilvl w:val="0"/>
          <w:numId w:val="8"/>
        </w:numPr>
        <w:spacing w:after="0" w:line="240" w:lineRule="auto"/>
        <w:contextualSpacing w:val="0"/>
        <w:jc w:val="both"/>
        <w:rPr>
          <w:rFonts w:ascii="Times New Roman" w:eastAsia="PMingLiU" w:hAnsi="Times New Roman" w:cs="Times New Roman"/>
          <w:b/>
          <w:bCs/>
          <w:i/>
          <w:szCs w:val="20"/>
          <w:lang w:val="en-GB"/>
        </w:rPr>
      </w:pPr>
      <w:r w:rsidRPr="003269B4">
        <w:rPr>
          <w:rFonts w:ascii="Times New Roman" w:eastAsia="PMingLiU" w:hAnsi="Times New Roman" w:cs="Times New Roman"/>
          <w:b/>
          <w:bCs/>
          <w:i/>
          <w:szCs w:val="20"/>
        </w:rPr>
        <w:t xml:space="preserve">For PUCCH carrier switching based on semi-static PUCCH cell timing pattern, the reference numerology for the timing pattern </w:t>
      </w:r>
      <w:r>
        <w:rPr>
          <w:rFonts w:ascii="Times New Roman" w:eastAsia="PMingLiU" w:hAnsi="Times New Roman" w:cs="Times New Roman"/>
          <w:b/>
          <w:bCs/>
          <w:i/>
          <w:szCs w:val="20"/>
          <w:lang w:val="en-GB"/>
        </w:rPr>
        <w:t xml:space="preserve">for k1 interpretation is the target PUCCH cell.  </w:t>
      </w:r>
    </w:p>
    <w:p w14:paraId="4541EDA5" w14:textId="77777777" w:rsidR="008E1395" w:rsidRPr="003269B4" w:rsidRDefault="008E1395" w:rsidP="008E1395">
      <w:pPr>
        <w:jc w:val="both"/>
        <w:rPr>
          <w:sz w:val="24"/>
        </w:rPr>
      </w:pPr>
    </w:p>
    <w:p w14:paraId="0D46A67D" w14:textId="77777777" w:rsidR="008E1395" w:rsidRPr="003269B4" w:rsidRDefault="008E1395" w:rsidP="008E1395">
      <w:pPr>
        <w:pStyle w:val="ListParagraph"/>
        <w:numPr>
          <w:ilvl w:val="0"/>
          <w:numId w:val="8"/>
        </w:numPr>
        <w:spacing w:after="0" w:line="240" w:lineRule="auto"/>
        <w:contextualSpacing w:val="0"/>
        <w:jc w:val="both"/>
        <w:rPr>
          <w:rFonts w:ascii="Times New Roman" w:eastAsia="PMingLiU" w:hAnsi="Times New Roman" w:cs="Times New Roman"/>
          <w:b/>
          <w:bCs/>
          <w:i/>
          <w:szCs w:val="20"/>
          <w:lang w:val="en-GB"/>
        </w:rPr>
      </w:pPr>
      <w:r w:rsidRPr="003269B4">
        <w:rPr>
          <w:rFonts w:ascii="Times New Roman" w:eastAsia="PMingLiU" w:hAnsi="Times New Roman" w:cs="Times New Roman"/>
          <w:b/>
          <w:bCs/>
          <w:i/>
          <w:szCs w:val="20"/>
        </w:rPr>
        <w:t xml:space="preserve">For PUCCH carrier switching based on semi-static PUCCH cell timing pattern, the </w:t>
      </w:r>
      <w:r w:rsidRPr="003269B4">
        <w:rPr>
          <w:rFonts w:ascii="Times New Roman" w:eastAsia="PMingLiU" w:hAnsi="Times New Roman" w:cs="Times New Roman"/>
          <w:b/>
          <w:bCs/>
          <w:i/>
          <w:szCs w:val="20"/>
          <w:lang w:val="en-GB"/>
        </w:rPr>
        <w:t>granularity of</w:t>
      </w:r>
      <w:r w:rsidRPr="003269B4">
        <w:rPr>
          <w:rFonts w:ascii="Times New Roman" w:eastAsia="PMingLiU" w:hAnsi="Times New Roman" w:cs="Times New Roman"/>
          <w:b/>
          <w:bCs/>
          <w:i/>
          <w:szCs w:val="20"/>
        </w:rPr>
        <w:t xml:space="preserve"> the timing pattern </w:t>
      </w:r>
      <w:r>
        <w:rPr>
          <w:rFonts w:ascii="Times New Roman" w:eastAsia="PMingLiU" w:hAnsi="Times New Roman" w:cs="Times New Roman"/>
          <w:b/>
          <w:bCs/>
          <w:i/>
          <w:szCs w:val="20"/>
          <w:lang w:val="en-GB"/>
        </w:rPr>
        <w:t>is the slot of the reference cell, where the reference cell is configured to the UE</w:t>
      </w:r>
      <w:r w:rsidRPr="003269B4">
        <w:rPr>
          <w:rFonts w:ascii="Times New Roman" w:eastAsia="PMingLiU" w:hAnsi="Times New Roman" w:cs="Times New Roman"/>
          <w:b/>
          <w:bCs/>
          <w:i/>
          <w:szCs w:val="20"/>
        </w:rPr>
        <w:t>.</w:t>
      </w:r>
      <w:r w:rsidRPr="003269B4">
        <w:rPr>
          <w:rFonts w:eastAsia="PMingLiU" w:cs="Times New Roman"/>
          <w:lang w:val="en-GB"/>
        </w:rPr>
        <w:t xml:space="preserve"> </w:t>
      </w:r>
    </w:p>
    <w:p w14:paraId="6A6DD130" w14:textId="77777777" w:rsidR="008E1395" w:rsidRPr="003269B4" w:rsidRDefault="008E1395" w:rsidP="008E1395">
      <w:pPr>
        <w:tabs>
          <w:tab w:val="num" w:pos="1440"/>
        </w:tabs>
        <w:spacing w:after="160" w:line="259" w:lineRule="auto"/>
        <w:rPr>
          <w:rFonts w:eastAsia="Malgun Gothic"/>
          <w:iCs/>
          <w:kern w:val="2"/>
          <w:lang w:eastAsia="ko-KR"/>
        </w:rPr>
      </w:pPr>
    </w:p>
    <w:p w14:paraId="11FF1F18" w14:textId="77777777" w:rsidR="008E1395" w:rsidRPr="00D53459" w:rsidRDefault="008E1395" w:rsidP="008E1395">
      <w:pPr>
        <w:pStyle w:val="ListParagraph"/>
        <w:numPr>
          <w:ilvl w:val="0"/>
          <w:numId w:val="8"/>
        </w:numPr>
        <w:spacing w:after="0" w:line="240" w:lineRule="auto"/>
        <w:contextualSpacing w:val="0"/>
        <w:jc w:val="both"/>
        <w:rPr>
          <w:lang w:val="en-GB"/>
        </w:rPr>
      </w:pPr>
      <w:r w:rsidRPr="003269B4">
        <w:rPr>
          <w:rFonts w:ascii="Times New Roman" w:eastAsia="PMingLiU" w:hAnsi="Times New Roman" w:cs="Times New Roman"/>
          <w:b/>
          <w:bCs/>
          <w:i/>
          <w:szCs w:val="20"/>
          <w:lang w:val="en-GB"/>
        </w:rPr>
        <w:t>Each cell carrying PUCCH has its own TPC configuration (PUCCH-</w:t>
      </w:r>
      <w:proofErr w:type="spellStart"/>
      <w:r w:rsidRPr="003269B4">
        <w:rPr>
          <w:rFonts w:ascii="Times New Roman" w:eastAsia="PMingLiU" w:hAnsi="Times New Roman" w:cs="Times New Roman"/>
          <w:b/>
          <w:bCs/>
          <w:i/>
          <w:szCs w:val="20"/>
          <w:lang w:val="en-GB"/>
        </w:rPr>
        <w:t>PowerControl</w:t>
      </w:r>
      <w:proofErr w:type="spellEnd"/>
      <w:r w:rsidRPr="003269B4">
        <w:rPr>
          <w:rFonts w:ascii="Times New Roman" w:eastAsia="PMingLiU" w:hAnsi="Times New Roman" w:cs="Times New Roman"/>
          <w:b/>
          <w:bCs/>
          <w:i/>
          <w:szCs w:val="20"/>
          <w:lang w:val="en-GB"/>
        </w:rPr>
        <w:t>) and has its own TPC loop. When switching the PUCCH carrier, UE changes the power control parameters to use the ones associated to the new PUCCH carrier.</w:t>
      </w:r>
    </w:p>
    <w:p w14:paraId="03588A7A" w14:textId="77777777" w:rsidR="008E1395" w:rsidRPr="00D53459" w:rsidRDefault="008E1395" w:rsidP="008E1395">
      <w:pPr>
        <w:pStyle w:val="ListParagraph"/>
        <w:rPr>
          <w:lang w:val="en-GB"/>
        </w:rPr>
      </w:pPr>
    </w:p>
    <w:p w14:paraId="76C52AFB" w14:textId="77777777" w:rsidR="008E1395" w:rsidRPr="003269B4" w:rsidRDefault="008E1395" w:rsidP="008E1395">
      <w:pPr>
        <w:pStyle w:val="ListParagraph"/>
        <w:spacing w:after="0" w:line="240" w:lineRule="auto"/>
        <w:ind w:left="0"/>
        <w:contextualSpacing w:val="0"/>
        <w:jc w:val="both"/>
        <w:rPr>
          <w:lang w:val="en-GB"/>
        </w:rPr>
      </w:pPr>
    </w:p>
    <w:p w14:paraId="050ED606" w14:textId="77777777" w:rsidR="008E1395" w:rsidRPr="0094666E" w:rsidRDefault="008E1395" w:rsidP="008E1395">
      <w:pPr>
        <w:pStyle w:val="ListParagraph"/>
        <w:numPr>
          <w:ilvl w:val="0"/>
          <w:numId w:val="8"/>
        </w:numPr>
        <w:spacing w:after="0" w:line="240" w:lineRule="auto"/>
        <w:contextualSpacing w:val="0"/>
        <w:jc w:val="both"/>
        <w:rPr>
          <w:rFonts w:ascii="Times New Roman" w:eastAsia="PMingLiU" w:hAnsi="Times New Roman" w:cs="Times New Roman"/>
          <w:b/>
          <w:bCs/>
          <w:i/>
          <w:szCs w:val="20"/>
          <w:lang w:val="en-GB"/>
        </w:rPr>
      </w:pPr>
      <w:r w:rsidRPr="0094666E">
        <w:rPr>
          <w:rFonts w:ascii="Times New Roman" w:eastAsia="PMingLiU" w:hAnsi="Times New Roman" w:cs="Times New Roman"/>
          <w:b/>
          <w:bCs/>
          <w:i/>
          <w:szCs w:val="20"/>
          <w:lang w:val="en-GB"/>
        </w:rPr>
        <w:t xml:space="preserve">Both cases with PUCCH switching among different cells with some of the cell(s) configured with both NUL and SUL or also the case of PUCCH switching among NUL and SUL of a single cell are supported. </w:t>
      </w:r>
    </w:p>
    <w:p w14:paraId="25355AF4" w14:textId="77777777" w:rsidR="008E1395" w:rsidRDefault="008E1395" w:rsidP="008E1395">
      <w:pPr>
        <w:rPr>
          <w:lang w:val="en-GB"/>
        </w:rPr>
      </w:pPr>
    </w:p>
    <w:p w14:paraId="0AEF1404" w14:textId="77777777" w:rsidR="008E1395" w:rsidRPr="003269B4" w:rsidRDefault="008E1395" w:rsidP="008E1395">
      <w:pPr>
        <w:rPr>
          <w:b/>
        </w:rPr>
      </w:pPr>
    </w:p>
    <w:p w14:paraId="10DF9AF9" w14:textId="77777777" w:rsidR="008E1395" w:rsidRPr="003269B4" w:rsidRDefault="008E1395" w:rsidP="008E1395">
      <w:pPr>
        <w:pStyle w:val="ListParagraph"/>
        <w:numPr>
          <w:ilvl w:val="0"/>
          <w:numId w:val="8"/>
        </w:numPr>
        <w:spacing w:after="0" w:line="240" w:lineRule="auto"/>
        <w:contextualSpacing w:val="0"/>
        <w:jc w:val="both"/>
        <w:rPr>
          <w:lang w:val="en-GB"/>
        </w:rPr>
      </w:pPr>
      <w:r>
        <w:rPr>
          <w:rFonts w:ascii="Times New Roman" w:eastAsia="PMingLiU" w:hAnsi="Times New Roman" w:cs="Times New Roman"/>
          <w:b/>
          <w:bCs/>
          <w:i/>
          <w:szCs w:val="20"/>
          <w:lang w:val="en-GB"/>
        </w:rPr>
        <w:t xml:space="preserve">Multiple carriers switching leading to the same initial carrier is allowed. </w:t>
      </w:r>
    </w:p>
    <w:p w14:paraId="6D48FACD" w14:textId="77777777" w:rsidR="008E1395" w:rsidRDefault="008E1395" w:rsidP="008E1395">
      <w:pPr>
        <w:ind w:left="360"/>
        <w:jc w:val="both"/>
        <w:rPr>
          <w:rFonts w:eastAsia="Malgun Gothic"/>
          <w:bCs/>
          <w:iCs/>
          <w:kern w:val="2"/>
          <w:lang w:eastAsia="ko-KR"/>
        </w:rPr>
      </w:pPr>
    </w:p>
    <w:p w14:paraId="23CA7B18" w14:textId="77777777" w:rsidR="008E1395" w:rsidRPr="00190BA0" w:rsidRDefault="008E1395" w:rsidP="008E1395">
      <w:pPr>
        <w:pStyle w:val="ListParagraph"/>
        <w:numPr>
          <w:ilvl w:val="0"/>
          <w:numId w:val="8"/>
        </w:numPr>
        <w:spacing w:after="0" w:line="240" w:lineRule="auto"/>
        <w:contextualSpacing w:val="0"/>
        <w:jc w:val="both"/>
        <w:rPr>
          <w:rFonts w:eastAsia="Malgun Gothic"/>
          <w:bCs/>
          <w:iCs/>
          <w:kern w:val="2"/>
          <w:lang w:eastAsia="ko-KR"/>
        </w:rPr>
      </w:pPr>
      <w:r w:rsidRPr="00190BA0">
        <w:rPr>
          <w:rFonts w:ascii="Times New Roman" w:eastAsia="PMingLiU" w:hAnsi="Times New Roman" w:cs="Times New Roman"/>
          <w:b/>
          <w:bCs/>
          <w:i/>
          <w:szCs w:val="20"/>
          <w:lang w:val="en-GB"/>
        </w:rPr>
        <w:t xml:space="preserve"> If </w:t>
      </w:r>
      <w:r>
        <w:rPr>
          <w:rFonts w:ascii="Times New Roman" w:eastAsia="PMingLiU" w:hAnsi="Times New Roman" w:cs="Times New Roman"/>
          <w:b/>
          <w:bCs/>
          <w:i/>
          <w:szCs w:val="20"/>
          <w:lang w:val="en-GB"/>
        </w:rPr>
        <w:t>LP-</w:t>
      </w:r>
      <w:r w:rsidRPr="00190BA0">
        <w:rPr>
          <w:rFonts w:ascii="Times New Roman" w:eastAsia="PMingLiU" w:hAnsi="Times New Roman" w:cs="Times New Roman"/>
          <w:b/>
          <w:bCs/>
          <w:i/>
          <w:szCs w:val="20"/>
          <w:lang w:val="en-GB"/>
        </w:rPr>
        <w:t xml:space="preserve">PUCCH transmission is overlapping with HP-CG-PUSCH, the UE prioritizes the transmission of PUSCH and the </w:t>
      </w:r>
      <w:proofErr w:type="spellStart"/>
      <w:r w:rsidRPr="00190BA0">
        <w:rPr>
          <w:rFonts w:ascii="Times New Roman" w:eastAsia="PMingLiU" w:hAnsi="Times New Roman" w:cs="Times New Roman"/>
          <w:b/>
          <w:bCs/>
          <w:i/>
          <w:szCs w:val="20"/>
          <w:lang w:val="en-GB"/>
        </w:rPr>
        <w:t>gNB</w:t>
      </w:r>
      <w:proofErr w:type="spellEnd"/>
      <w:r w:rsidRPr="00190BA0">
        <w:rPr>
          <w:rFonts w:ascii="Times New Roman" w:eastAsia="PMingLiU" w:hAnsi="Times New Roman" w:cs="Times New Roman"/>
          <w:b/>
          <w:bCs/>
          <w:i/>
          <w:szCs w:val="20"/>
          <w:lang w:val="en-GB"/>
        </w:rPr>
        <w:t xml:space="preserve"> needs to re-schedule the PUCCH transmission on different or same carrier. </w:t>
      </w:r>
      <w:r>
        <w:rPr>
          <w:rFonts w:ascii="Times New Roman" w:eastAsia="PMingLiU" w:hAnsi="Times New Roman" w:cs="Times New Roman"/>
          <w:b/>
          <w:bCs/>
          <w:i/>
          <w:szCs w:val="20"/>
          <w:lang w:val="en-GB"/>
        </w:rPr>
        <w:t>For HP-PUCCH re-use Rel-16 prioritization rules.</w:t>
      </w:r>
    </w:p>
    <w:p w14:paraId="29E0FB7F" w14:textId="77777777" w:rsidR="008E1395" w:rsidRPr="005A6B84" w:rsidRDefault="008E1395" w:rsidP="008E1395">
      <w:pPr>
        <w:ind w:left="360"/>
        <w:jc w:val="both"/>
        <w:rPr>
          <w:rFonts w:eastAsia="Malgun Gothic"/>
          <w:bCs/>
          <w:iCs/>
          <w:kern w:val="2"/>
          <w:lang w:eastAsia="ko-KR"/>
        </w:rPr>
      </w:pPr>
      <w:r>
        <w:rPr>
          <w:rFonts w:eastAsia="Malgun Gothic"/>
          <w:bCs/>
          <w:iCs/>
          <w:kern w:val="2"/>
          <w:lang w:eastAsia="ko-KR"/>
        </w:rPr>
        <w:t xml:space="preserve"> </w:t>
      </w:r>
    </w:p>
    <w:p w14:paraId="371CFE52" w14:textId="77777777" w:rsidR="008E1395" w:rsidRDefault="008E1395" w:rsidP="008E1395">
      <w:pPr>
        <w:ind w:left="360"/>
        <w:jc w:val="both"/>
        <w:rPr>
          <w:rFonts w:eastAsia="Malgun Gothic"/>
          <w:bCs/>
          <w:iCs/>
          <w:kern w:val="2"/>
          <w:lang w:eastAsia="ko-KR"/>
        </w:rPr>
      </w:pPr>
    </w:p>
    <w:p w14:paraId="6E5558B1" w14:textId="77777777" w:rsidR="008E1395" w:rsidRPr="00301A7B" w:rsidRDefault="008E1395" w:rsidP="008E1395">
      <w:pPr>
        <w:pStyle w:val="ListParagraph"/>
        <w:numPr>
          <w:ilvl w:val="0"/>
          <w:numId w:val="8"/>
        </w:numPr>
        <w:spacing w:after="0" w:line="240" w:lineRule="auto"/>
        <w:contextualSpacing w:val="0"/>
        <w:jc w:val="both"/>
        <w:rPr>
          <w:rFonts w:eastAsia="Malgun Gothic"/>
          <w:bCs/>
          <w:iCs/>
          <w:kern w:val="2"/>
          <w:lang w:eastAsia="ko-KR"/>
        </w:rPr>
      </w:pPr>
      <w:r w:rsidRPr="00301A7B">
        <w:rPr>
          <w:rFonts w:ascii="Times New Roman" w:eastAsia="PMingLiU" w:hAnsi="Times New Roman" w:cs="Times New Roman"/>
          <w:b/>
          <w:bCs/>
          <w:i/>
          <w:szCs w:val="20"/>
          <w:lang w:val="en-GB"/>
        </w:rPr>
        <w:t>HARQ-ACK codebook per PUCCH carrier</w:t>
      </w:r>
      <w:r>
        <w:rPr>
          <w:rFonts w:ascii="Times New Roman" w:eastAsia="PMingLiU" w:hAnsi="Times New Roman" w:cs="Times New Roman"/>
          <w:b/>
          <w:bCs/>
          <w:i/>
          <w:szCs w:val="20"/>
          <w:lang w:val="en-GB"/>
        </w:rPr>
        <w:t xml:space="preserve"> to be supported. </w:t>
      </w:r>
    </w:p>
    <w:p w14:paraId="5B387463" w14:textId="77777777" w:rsidR="008E1395" w:rsidRPr="00D53459" w:rsidRDefault="008E1395" w:rsidP="008E1395">
      <w:pPr>
        <w:rPr>
          <w:lang w:val="x-none"/>
        </w:rPr>
      </w:pPr>
    </w:p>
    <w:p w14:paraId="5230B231" w14:textId="77B14955" w:rsidR="000129EC" w:rsidRPr="00301A7B" w:rsidRDefault="000129EC" w:rsidP="00500936">
      <w:pPr>
        <w:jc w:val="both"/>
        <w:rPr>
          <w:b/>
          <w:i/>
          <w:lang w:val="x-none"/>
        </w:rPr>
      </w:pPr>
    </w:p>
    <w:p w14:paraId="3B838773" w14:textId="77777777" w:rsidR="001F5046" w:rsidRPr="003269B4" w:rsidRDefault="001F5046" w:rsidP="001F5046">
      <w:pPr>
        <w:pStyle w:val="Heading1"/>
        <w:jc w:val="both"/>
        <w:rPr>
          <w:lang w:val="en-US"/>
        </w:rPr>
      </w:pPr>
      <w:r w:rsidRPr="003269B4">
        <w:rPr>
          <w:rFonts w:hint="eastAsia"/>
          <w:lang w:val="en-US" w:eastAsia="zh-TW"/>
        </w:rPr>
        <w:lastRenderedPageBreak/>
        <w:t>References</w:t>
      </w:r>
    </w:p>
    <w:p w14:paraId="4065B2A5" w14:textId="73EE5C2B" w:rsidR="00B43B9E" w:rsidRPr="003269B4" w:rsidRDefault="00B43B9E"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5" w:name="_Ref16677548"/>
      <w:bookmarkStart w:id="6" w:name="_Ref534894790"/>
      <w:bookmarkStart w:id="7" w:name="_Ref481672677"/>
      <w:r w:rsidRPr="003269B4">
        <w:rPr>
          <w:rFonts w:ascii="Times New Roman" w:eastAsia="PMingLiU" w:hAnsi="Times New Roman" w:cs="Times New Roman"/>
          <w:sz w:val="20"/>
          <w:szCs w:val="20"/>
          <w:lang w:val="en-US"/>
        </w:rPr>
        <w:t xml:space="preserve"> </w:t>
      </w:r>
      <w:bookmarkStart w:id="8" w:name="_Ref47346549"/>
      <w:r w:rsidRPr="003269B4">
        <w:rPr>
          <w:rFonts w:ascii="Times New Roman" w:eastAsia="PMingLiU" w:hAnsi="Times New Roman" w:cs="Times New Roman"/>
          <w:sz w:val="20"/>
          <w:szCs w:val="20"/>
          <w:lang w:val="en-US"/>
        </w:rPr>
        <w:t>RP-201310 “Revised WID: Enhanced Industrial Internet of Things (</w:t>
      </w:r>
      <w:proofErr w:type="spellStart"/>
      <w:r w:rsidRPr="003269B4">
        <w:rPr>
          <w:rFonts w:ascii="Times New Roman" w:eastAsia="PMingLiU" w:hAnsi="Times New Roman" w:cs="Times New Roman"/>
          <w:sz w:val="20"/>
          <w:szCs w:val="20"/>
          <w:lang w:val="en-US"/>
        </w:rPr>
        <w:t>IoT</w:t>
      </w:r>
      <w:proofErr w:type="spellEnd"/>
      <w:r w:rsidRPr="003269B4">
        <w:rPr>
          <w:rFonts w:ascii="Times New Roman" w:eastAsia="PMingLiU" w:hAnsi="Times New Roman" w:cs="Times New Roman"/>
          <w:sz w:val="20"/>
          <w:szCs w:val="20"/>
          <w:lang w:val="en-US"/>
        </w:rPr>
        <w:t>) and ultra-reliable and low latency communication (URLLC) support for NR” Nokia, Nokia Shanghai Bell, 3GPP TSG RAN Meeting #88e.</w:t>
      </w:r>
      <w:bookmarkEnd w:id="8"/>
    </w:p>
    <w:p w14:paraId="2611FECD" w14:textId="0076E939" w:rsidR="00C26D83" w:rsidRPr="003269B4" w:rsidRDefault="00C26D83"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9" w:name="_Ref54017729"/>
      <w:r w:rsidRPr="003269B4">
        <w:rPr>
          <w:rFonts w:ascii="Times New Roman" w:eastAsia="PMingLiU" w:hAnsi="Times New Roman" w:cs="Times New Roman"/>
          <w:sz w:val="20"/>
          <w:szCs w:val="20"/>
          <w:lang w:val="en-US"/>
        </w:rPr>
        <w:t>R1-</w:t>
      </w:r>
      <w:r w:rsidRPr="003269B4">
        <w:rPr>
          <w:rFonts w:ascii="Times New Roman" w:eastAsia="PMingLiU" w:hAnsi="Times New Roman" w:cs="Times New Roman" w:hint="eastAsia"/>
          <w:sz w:val="20"/>
          <w:szCs w:val="20"/>
          <w:lang w:val="en-US"/>
        </w:rPr>
        <w:t>2007448</w:t>
      </w:r>
      <w:r w:rsidRPr="003269B4">
        <w:rPr>
          <w:rFonts w:ascii="Times New Roman" w:eastAsia="PMingLiU" w:hAnsi="Times New Roman" w:cs="Times New Roman"/>
          <w:sz w:val="20"/>
          <w:szCs w:val="20"/>
          <w:lang w:val="en-US"/>
        </w:rPr>
        <w:t xml:space="preserve"> “Summary#</w:t>
      </w:r>
      <w:r w:rsidRPr="003269B4">
        <w:rPr>
          <w:rFonts w:ascii="Times New Roman" w:eastAsia="PMingLiU" w:hAnsi="Times New Roman" w:cs="Times New Roman" w:hint="eastAsia"/>
          <w:sz w:val="20"/>
          <w:szCs w:val="20"/>
          <w:lang w:val="en-US"/>
        </w:rPr>
        <w:t>3</w:t>
      </w:r>
      <w:r w:rsidRPr="003269B4">
        <w:rPr>
          <w:rFonts w:ascii="Times New Roman" w:eastAsia="PMingLiU" w:hAnsi="Times New Roman" w:cs="Times New Roman"/>
          <w:sz w:val="20"/>
          <w:szCs w:val="20"/>
          <w:lang w:val="en-US"/>
        </w:rPr>
        <w:t xml:space="preserve"> of email thread [102-e-NR-L1enh_URLLC-UCI_Enh-0</w:t>
      </w:r>
      <w:r w:rsidRPr="003269B4">
        <w:rPr>
          <w:rFonts w:ascii="Times New Roman" w:eastAsia="PMingLiU" w:hAnsi="Times New Roman" w:cs="Times New Roman" w:hint="eastAsia"/>
          <w:sz w:val="20"/>
          <w:szCs w:val="20"/>
          <w:lang w:val="en-US"/>
        </w:rPr>
        <w:t>2</w:t>
      </w:r>
      <w:r w:rsidRPr="003269B4">
        <w:rPr>
          <w:rFonts w:ascii="Times New Roman" w:eastAsia="PMingLiU" w:hAnsi="Times New Roman" w:cs="Times New Roman"/>
          <w:sz w:val="20"/>
          <w:szCs w:val="20"/>
          <w:lang w:val="en-US"/>
        </w:rPr>
        <w:t xml:space="preserve">]”, </w:t>
      </w:r>
      <w:proofErr w:type="spellStart"/>
      <w:r w:rsidRPr="003269B4">
        <w:rPr>
          <w:rFonts w:ascii="Times New Roman" w:eastAsia="PMingLiU" w:hAnsi="Times New Roman" w:cs="Times New Roman"/>
          <w:sz w:val="20"/>
          <w:szCs w:val="20"/>
          <w:lang w:val="en-US"/>
        </w:rPr>
        <w:t>Oppo</w:t>
      </w:r>
      <w:proofErr w:type="spellEnd"/>
      <w:r w:rsidRPr="003269B4">
        <w:rPr>
          <w:rFonts w:ascii="Times New Roman" w:eastAsia="PMingLiU" w:hAnsi="Times New Roman" w:cs="Times New Roman"/>
          <w:sz w:val="20"/>
          <w:szCs w:val="20"/>
          <w:lang w:val="en-US"/>
        </w:rPr>
        <w:t>, 3GPP TSG RAN WG1 #</w:t>
      </w:r>
      <w:r w:rsidRPr="003269B4">
        <w:rPr>
          <w:rFonts w:ascii="Times New Roman" w:eastAsia="PMingLiU" w:hAnsi="Times New Roman" w:cs="Times New Roman" w:hint="eastAsia"/>
          <w:sz w:val="20"/>
          <w:szCs w:val="20"/>
          <w:lang w:val="en-US"/>
        </w:rPr>
        <w:t>102-e</w:t>
      </w:r>
      <w:r w:rsidRPr="003269B4">
        <w:rPr>
          <w:rFonts w:ascii="Times New Roman" w:eastAsia="PMingLiU" w:hAnsi="Times New Roman" w:cs="Times New Roman"/>
          <w:sz w:val="20"/>
          <w:szCs w:val="20"/>
          <w:lang w:val="en-US"/>
        </w:rPr>
        <w:t>.</w:t>
      </w:r>
      <w:bookmarkEnd w:id="9"/>
    </w:p>
    <w:p w14:paraId="1013B8BF" w14:textId="1ED76BCD" w:rsidR="006336CB" w:rsidRPr="003269B4" w:rsidRDefault="006336CB"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0" w:name="_Ref61711008"/>
      <w:r w:rsidRPr="003269B4">
        <w:rPr>
          <w:rFonts w:ascii="Times New Roman" w:eastAsia="PMingLiU" w:hAnsi="Times New Roman" w:cs="Times New Roman"/>
          <w:sz w:val="20"/>
          <w:szCs w:val="20"/>
          <w:lang w:val="en-US"/>
        </w:rPr>
        <w:t>RAN1#103e chairman notes.</w:t>
      </w:r>
      <w:bookmarkEnd w:id="10"/>
    </w:p>
    <w:p w14:paraId="6C8748AA" w14:textId="5EE22788" w:rsidR="00D36877" w:rsidRDefault="00D36877" w:rsidP="00C32736">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1" w:name="_Ref68165704"/>
      <w:r w:rsidRPr="003269B4">
        <w:rPr>
          <w:rFonts w:ascii="Times New Roman" w:eastAsia="PMingLiU" w:hAnsi="Times New Roman" w:cs="Times New Roman"/>
          <w:sz w:val="20"/>
          <w:szCs w:val="20"/>
          <w:lang w:val="en-US"/>
        </w:rPr>
        <w:t>RAN1#104e chairman notes.</w:t>
      </w:r>
      <w:bookmarkEnd w:id="11"/>
    </w:p>
    <w:p w14:paraId="215D5B71" w14:textId="5D6A04AD" w:rsidR="00725364" w:rsidRPr="00725364" w:rsidRDefault="00725364" w:rsidP="003D3BBB">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2" w:name="_Ref78987873"/>
      <w:r w:rsidRPr="00725364">
        <w:rPr>
          <w:rFonts w:ascii="Times New Roman" w:eastAsia="PMingLiU" w:hAnsi="Times New Roman" w:cs="Times New Roman"/>
          <w:sz w:val="20"/>
          <w:szCs w:val="20"/>
          <w:lang w:val="en-US"/>
        </w:rPr>
        <w:t>RAN1#104bis-e chairman notes.</w:t>
      </w:r>
      <w:bookmarkEnd w:id="12"/>
    </w:p>
    <w:p w14:paraId="720AE4F4" w14:textId="3DD11BE9" w:rsidR="000E54D9" w:rsidRDefault="000E54D9" w:rsidP="00CD54BC">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3" w:name="_Ref77769965"/>
      <w:r w:rsidRPr="003269B4">
        <w:rPr>
          <w:rFonts w:ascii="Times New Roman" w:eastAsia="PMingLiU" w:hAnsi="Times New Roman" w:cs="Times New Roman"/>
          <w:sz w:val="20"/>
          <w:szCs w:val="20"/>
          <w:lang w:val="en-US"/>
        </w:rPr>
        <w:t>RAN1#105e chairman notes.</w:t>
      </w:r>
      <w:bookmarkEnd w:id="13"/>
    </w:p>
    <w:p w14:paraId="17AF82F7" w14:textId="40F67368" w:rsidR="00EE103F" w:rsidRPr="00EE103F" w:rsidRDefault="00EE103F" w:rsidP="00AC4CA9">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4" w:name="_Ref83398614"/>
      <w:r w:rsidRPr="00EE103F">
        <w:rPr>
          <w:rFonts w:ascii="Times New Roman" w:eastAsia="PMingLiU" w:hAnsi="Times New Roman" w:cs="Times New Roman"/>
          <w:sz w:val="20"/>
          <w:szCs w:val="20"/>
          <w:lang w:val="en-US"/>
        </w:rPr>
        <w:t>RAN1#106e chairman notes.</w:t>
      </w:r>
      <w:bookmarkEnd w:id="14"/>
    </w:p>
    <w:p w14:paraId="0E7BD9F8" w14:textId="77777777" w:rsidR="00B43B9E" w:rsidRPr="003269B4" w:rsidRDefault="00B43B9E" w:rsidP="00B43B9E">
      <w:pPr>
        <w:pStyle w:val="ListParagraph"/>
        <w:spacing w:after="0"/>
        <w:ind w:left="357"/>
        <w:jc w:val="both"/>
        <w:rPr>
          <w:rFonts w:ascii="Times New Roman" w:eastAsia="PMingLiU" w:hAnsi="Times New Roman" w:cs="Times New Roman"/>
          <w:sz w:val="20"/>
          <w:szCs w:val="20"/>
          <w:lang w:val="en-US"/>
        </w:rPr>
      </w:pPr>
    </w:p>
    <w:p w14:paraId="19C060DA" w14:textId="77777777" w:rsidR="00BA3EFF" w:rsidRPr="003269B4" w:rsidRDefault="00BA3EFF" w:rsidP="00BA3EFF">
      <w:pPr>
        <w:jc w:val="both"/>
      </w:pPr>
    </w:p>
    <w:p w14:paraId="4D234B56" w14:textId="77777777" w:rsidR="00BA3EFF" w:rsidRPr="003269B4" w:rsidRDefault="00BA3EFF" w:rsidP="00BA3EFF">
      <w:pPr>
        <w:jc w:val="both"/>
      </w:pPr>
    </w:p>
    <w:bookmarkEnd w:id="5"/>
    <w:bookmarkEnd w:id="6"/>
    <w:bookmarkEnd w:id="7"/>
    <w:p w14:paraId="15A6E558" w14:textId="77777777" w:rsidR="00BA3EFF" w:rsidRPr="003269B4" w:rsidRDefault="00BA3EFF" w:rsidP="00BA3EFF">
      <w:pPr>
        <w:jc w:val="both"/>
      </w:pPr>
    </w:p>
    <w:sectPr w:rsidR="00BA3EFF" w:rsidRPr="003269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FD56AB1"/>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4DD735C"/>
    <w:multiLevelType w:val="multilevel"/>
    <w:tmpl w:val="E5962F6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47E45C5"/>
    <w:multiLevelType w:val="hybridMultilevel"/>
    <w:tmpl w:val="B97EC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5E133EE4"/>
    <w:multiLevelType w:val="hybridMultilevel"/>
    <w:tmpl w:val="FA0AD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5"/>
  </w:num>
  <w:num w:numId="6">
    <w:abstractNumId w:val="7"/>
  </w:num>
  <w:num w:numId="7">
    <w:abstractNumId w:val="6"/>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06CD0"/>
    <w:rsid w:val="000072EE"/>
    <w:rsid w:val="000129EC"/>
    <w:rsid w:val="00017DC8"/>
    <w:rsid w:val="0002284D"/>
    <w:rsid w:val="00025A86"/>
    <w:rsid w:val="00031FCE"/>
    <w:rsid w:val="000415AD"/>
    <w:rsid w:val="00043880"/>
    <w:rsid w:val="00044AC1"/>
    <w:rsid w:val="00051B7D"/>
    <w:rsid w:val="0005236A"/>
    <w:rsid w:val="000536C3"/>
    <w:rsid w:val="00057A19"/>
    <w:rsid w:val="000600E3"/>
    <w:rsid w:val="00061D04"/>
    <w:rsid w:val="00066AF3"/>
    <w:rsid w:val="00071144"/>
    <w:rsid w:val="00073FD0"/>
    <w:rsid w:val="00076367"/>
    <w:rsid w:val="00076A9F"/>
    <w:rsid w:val="000811FD"/>
    <w:rsid w:val="00081F75"/>
    <w:rsid w:val="000849E0"/>
    <w:rsid w:val="000A1688"/>
    <w:rsid w:val="000A2C19"/>
    <w:rsid w:val="000B0092"/>
    <w:rsid w:val="000B7F2B"/>
    <w:rsid w:val="000C3BA5"/>
    <w:rsid w:val="000D321F"/>
    <w:rsid w:val="000E54D9"/>
    <w:rsid w:val="000F03C0"/>
    <w:rsid w:val="000F35EB"/>
    <w:rsid w:val="001014B4"/>
    <w:rsid w:val="00103BFC"/>
    <w:rsid w:val="00104BC0"/>
    <w:rsid w:val="00111D99"/>
    <w:rsid w:val="001149C4"/>
    <w:rsid w:val="00117896"/>
    <w:rsid w:val="001245CD"/>
    <w:rsid w:val="00125AFC"/>
    <w:rsid w:val="00134070"/>
    <w:rsid w:val="00136E4A"/>
    <w:rsid w:val="0013760E"/>
    <w:rsid w:val="00155DB4"/>
    <w:rsid w:val="001575FD"/>
    <w:rsid w:val="00167080"/>
    <w:rsid w:val="00180B84"/>
    <w:rsid w:val="00186FA2"/>
    <w:rsid w:val="00190AAE"/>
    <w:rsid w:val="00190BA0"/>
    <w:rsid w:val="001A2016"/>
    <w:rsid w:val="001A2CE7"/>
    <w:rsid w:val="001B1834"/>
    <w:rsid w:val="001B1BCE"/>
    <w:rsid w:val="001B5BE6"/>
    <w:rsid w:val="001C4FC8"/>
    <w:rsid w:val="001D0CB6"/>
    <w:rsid w:val="001D5F73"/>
    <w:rsid w:val="001E2874"/>
    <w:rsid w:val="001E5101"/>
    <w:rsid w:val="001F5046"/>
    <w:rsid w:val="0020069F"/>
    <w:rsid w:val="00203DA6"/>
    <w:rsid w:val="00206795"/>
    <w:rsid w:val="0021063D"/>
    <w:rsid w:val="00210806"/>
    <w:rsid w:val="00214CFB"/>
    <w:rsid w:val="00216BE7"/>
    <w:rsid w:val="00216CD0"/>
    <w:rsid w:val="002208C5"/>
    <w:rsid w:val="00224A3D"/>
    <w:rsid w:val="002274E1"/>
    <w:rsid w:val="00236F48"/>
    <w:rsid w:val="002442FA"/>
    <w:rsid w:val="00256914"/>
    <w:rsid w:val="00260301"/>
    <w:rsid w:val="002620EB"/>
    <w:rsid w:val="0026570D"/>
    <w:rsid w:val="00266DE8"/>
    <w:rsid w:val="0027031C"/>
    <w:rsid w:val="00273B51"/>
    <w:rsid w:val="0028327C"/>
    <w:rsid w:val="00293651"/>
    <w:rsid w:val="002A15E8"/>
    <w:rsid w:val="002A5A56"/>
    <w:rsid w:val="002B4402"/>
    <w:rsid w:val="002C0262"/>
    <w:rsid w:val="002C5F00"/>
    <w:rsid w:val="002D0DF6"/>
    <w:rsid w:val="002D130F"/>
    <w:rsid w:val="002D5B54"/>
    <w:rsid w:val="002E45B3"/>
    <w:rsid w:val="002E79E3"/>
    <w:rsid w:val="002F3389"/>
    <w:rsid w:val="002F3B5E"/>
    <w:rsid w:val="002F4EAA"/>
    <w:rsid w:val="002F63E3"/>
    <w:rsid w:val="00301A7B"/>
    <w:rsid w:val="00307FAE"/>
    <w:rsid w:val="00310455"/>
    <w:rsid w:val="00314268"/>
    <w:rsid w:val="003142EE"/>
    <w:rsid w:val="00320D07"/>
    <w:rsid w:val="00325043"/>
    <w:rsid w:val="003269B4"/>
    <w:rsid w:val="003274C3"/>
    <w:rsid w:val="00333443"/>
    <w:rsid w:val="00336A76"/>
    <w:rsid w:val="00341609"/>
    <w:rsid w:val="003507C7"/>
    <w:rsid w:val="00356141"/>
    <w:rsid w:val="003563DE"/>
    <w:rsid w:val="003629E4"/>
    <w:rsid w:val="00365DE0"/>
    <w:rsid w:val="00365F2D"/>
    <w:rsid w:val="003754D1"/>
    <w:rsid w:val="00375A55"/>
    <w:rsid w:val="003761B4"/>
    <w:rsid w:val="00380A89"/>
    <w:rsid w:val="003816AC"/>
    <w:rsid w:val="00394CA6"/>
    <w:rsid w:val="00396E3F"/>
    <w:rsid w:val="003A22F3"/>
    <w:rsid w:val="003A5EEA"/>
    <w:rsid w:val="003C4FC9"/>
    <w:rsid w:val="003C5F52"/>
    <w:rsid w:val="003C6F28"/>
    <w:rsid w:val="003D3BBB"/>
    <w:rsid w:val="003D6C82"/>
    <w:rsid w:val="003F15CD"/>
    <w:rsid w:val="003F6DAC"/>
    <w:rsid w:val="004002CE"/>
    <w:rsid w:val="00404194"/>
    <w:rsid w:val="004144AB"/>
    <w:rsid w:val="004150B3"/>
    <w:rsid w:val="004222DE"/>
    <w:rsid w:val="00426259"/>
    <w:rsid w:val="00426D49"/>
    <w:rsid w:val="004331C7"/>
    <w:rsid w:val="004332AA"/>
    <w:rsid w:val="00441B06"/>
    <w:rsid w:val="00445D2B"/>
    <w:rsid w:val="004575B9"/>
    <w:rsid w:val="0046618E"/>
    <w:rsid w:val="004661AC"/>
    <w:rsid w:val="004664C8"/>
    <w:rsid w:val="00496621"/>
    <w:rsid w:val="00497F6F"/>
    <w:rsid w:val="004A1083"/>
    <w:rsid w:val="004A2178"/>
    <w:rsid w:val="004A3DC7"/>
    <w:rsid w:val="004A5D8C"/>
    <w:rsid w:val="004B4FD1"/>
    <w:rsid w:val="004C0953"/>
    <w:rsid w:val="004C0BA8"/>
    <w:rsid w:val="004C22B3"/>
    <w:rsid w:val="004C37E5"/>
    <w:rsid w:val="004D52BA"/>
    <w:rsid w:val="004F10B3"/>
    <w:rsid w:val="00500936"/>
    <w:rsid w:val="00504B7E"/>
    <w:rsid w:val="0051423F"/>
    <w:rsid w:val="00520050"/>
    <w:rsid w:val="0052026E"/>
    <w:rsid w:val="00521663"/>
    <w:rsid w:val="00525296"/>
    <w:rsid w:val="00531402"/>
    <w:rsid w:val="00534CD6"/>
    <w:rsid w:val="00543234"/>
    <w:rsid w:val="00545EF9"/>
    <w:rsid w:val="00554D21"/>
    <w:rsid w:val="00555280"/>
    <w:rsid w:val="00557E5A"/>
    <w:rsid w:val="0056027B"/>
    <w:rsid w:val="00563788"/>
    <w:rsid w:val="00570A2B"/>
    <w:rsid w:val="00570DE1"/>
    <w:rsid w:val="005728D9"/>
    <w:rsid w:val="005770C3"/>
    <w:rsid w:val="005778ED"/>
    <w:rsid w:val="00592BAF"/>
    <w:rsid w:val="00594FD2"/>
    <w:rsid w:val="005A5EA5"/>
    <w:rsid w:val="005A6B84"/>
    <w:rsid w:val="005A70B0"/>
    <w:rsid w:val="005B50D8"/>
    <w:rsid w:val="005B7D5E"/>
    <w:rsid w:val="005C0588"/>
    <w:rsid w:val="005C0B0C"/>
    <w:rsid w:val="005C2E1F"/>
    <w:rsid w:val="005D1DBE"/>
    <w:rsid w:val="005D32EF"/>
    <w:rsid w:val="005D50B6"/>
    <w:rsid w:val="005F0C98"/>
    <w:rsid w:val="005F6EEE"/>
    <w:rsid w:val="00602304"/>
    <w:rsid w:val="0060663D"/>
    <w:rsid w:val="00607368"/>
    <w:rsid w:val="00611074"/>
    <w:rsid w:val="00612AFE"/>
    <w:rsid w:val="00612B58"/>
    <w:rsid w:val="00615895"/>
    <w:rsid w:val="006173B2"/>
    <w:rsid w:val="006178AE"/>
    <w:rsid w:val="00617B41"/>
    <w:rsid w:val="006307C3"/>
    <w:rsid w:val="006336CB"/>
    <w:rsid w:val="006345DE"/>
    <w:rsid w:val="00636A6C"/>
    <w:rsid w:val="00661B2E"/>
    <w:rsid w:val="006748DE"/>
    <w:rsid w:val="00674A28"/>
    <w:rsid w:val="00680B48"/>
    <w:rsid w:val="006812FC"/>
    <w:rsid w:val="006814F1"/>
    <w:rsid w:val="00681D74"/>
    <w:rsid w:val="00684BE0"/>
    <w:rsid w:val="00687C1E"/>
    <w:rsid w:val="0069150D"/>
    <w:rsid w:val="00691DE8"/>
    <w:rsid w:val="00697C2B"/>
    <w:rsid w:val="006A341F"/>
    <w:rsid w:val="006A4FFC"/>
    <w:rsid w:val="006A521B"/>
    <w:rsid w:val="006A5A94"/>
    <w:rsid w:val="006B15C5"/>
    <w:rsid w:val="006B366F"/>
    <w:rsid w:val="006C5CB2"/>
    <w:rsid w:val="006D73E8"/>
    <w:rsid w:val="006E3F40"/>
    <w:rsid w:val="006E4021"/>
    <w:rsid w:val="006E5EE4"/>
    <w:rsid w:val="006F2321"/>
    <w:rsid w:val="006F603F"/>
    <w:rsid w:val="00702568"/>
    <w:rsid w:val="007054F6"/>
    <w:rsid w:val="00707FEF"/>
    <w:rsid w:val="007129EB"/>
    <w:rsid w:val="00717762"/>
    <w:rsid w:val="00720BFC"/>
    <w:rsid w:val="00721E6E"/>
    <w:rsid w:val="007227F3"/>
    <w:rsid w:val="00725364"/>
    <w:rsid w:val="00725804"/>
    <w:rsid w:val="007350F6"/>
    <w:rsid w:val="007441A7"/>
    <w:rsid w:val="00745D4A"/>
    <w:rsid w:val="00746B1E"/>
    <w:rsid w:val="00755673"/>
    <w:rsid w:val="00756810"/>
    <w:rsid w:val="007600AD"/>
    <w:rsid w:val="00762629"/>
    <w:rsid w:val="00764CE5"/>
    <w:rsid w:val="0076671C"/>
    <w:rsid w:val="00775F57"/>
    <w:rsid w:val="007769D5"/>
    <w:rsid w:val="007803FB"/>
    <w:rsid w:val="00781B51"/>
    <w:rsid w:val="00786A44"/>
    <w:rsid w:val="00794729"/>
    <w:rsid w:val="007A3335"/>
    <w:rsid w:val="007A3672"/>
    <w:rsid w:val="007B5D78"/>
    <w:rsid w:val="007B77CE"/>
    <w:rsid w:val="007C11C6"/>
    <w:rsid w:val="007C5C60"/>
    <w:rsid w:val="007C7B84"/>
    <w:rsid w:val="007D20AF"/>
    <w:rsid w:val="007F76CD"/>
    <w:rsid w:val="00800D80"/>
    <w:rsid w:val="00805F91"/>
    <w:rsid w:val="00814164"/>
    <w:rsid w:val="008149EA"/>
    <w:rsid w:val="00820040"/>
    <w:rsid w:val="00824696"/>
    <w:rsid w:val="00827333"/>
    <w:rsid w:val="0083026A"/>
    <w:rsid w:val="00832D6F"/>
    <w:rsid w:val="0084239A"/>
    <w:rsid w:val="00842E71"/>
    <w:rsid w:val="0084345D"/>
    <w:rsid w:val="00847E8D"/>
    <w:rsid w:val="00853FFB"/>
    <w:rsid w:val="008551E9"/>
    <w:rsid w:val="00867DB8"/>
    <w:rsid w:val="00870870"/>
    <w:rsid w:val="008714B9"/>
    <w:rsid w:val="00873ED0"/>
    <w:rsid w:val="00874F98"/>
    <w:rsid w:val="0088100B"/>
    <w:rsid w:val="00881CF3"/>
    <w:rsid w:val="0088430E"/>
    <w:rsid w:val="008915DA"/>
    <w:rsid w:val="00897853"/>
    <w:rsid w:val="008A0B5D"/>
    <w:rsid w:val="008B583C"/>
    <w:rsid w:val="008D020C"/>
    <w:rsid w:val="008D1B09"/>
    <w:rsid w:val="008D1C9A"/>
    <w:rsid w:val="008D56C5"/>
    <w:rsid w:val="008E05E9"/>
    <w:rsid w:val="008E0D26"/>
    <w:rsid w:val="008E1395"/>
    <w:rsid w:val="008E2DD1"/>
    <w:rsid w:val="008E4232"/>
    <w:rsid w:val="008E432B"/>
    <w:rsid w:val="008E4BBA"/>
    <w:rsid w:val="008E510E"/>
    <w:rsid w:val="008E79E4"/>
    <w:rsid w:val="008F3159"/>
    <w:rsid w:val="0090298A"/>
    <w:rsid w:val="009047CE"/>
    <w:rsid w:val="00904D95"/>
    <w:rsid w:val="00905ED0"/>
    <w:rsid w:val="00913AD5"/>
    <w:rsid w:val="009169FA"/>
    <w:rsid w:val="00920A30"/>
    <w:rsid w:val="00924504"/>
    <w:rsid w:val="00927ABB"/>
    <w:rsid w:val="00937C78"/>
    <w:rsid w:val="00943AAA"/>
    <w:rsid w:val="00945E8E"/>
    <w:rsid w:val="0094666E"/>
    <w:rsid w:val="00950B61"/>
    <w:rsid w:val="00952893"/>
    <w:rsid w:val="00953510"/>
    <w:rsid w:val="009539FE"/>
    <w:rsid w:val="009612D4"/>
    <w:rsid w:val="0096664B"/>
    <w:rsid w:val="00967D7B"/>
    <w:rsid w:val="0097031E"/>
    <w:rsid w:val="00980158"/>
    <w:rsid w:val="00997E95"/>
    <w:rsid w:val="009A0AD7"/>
    <w:rsid w:val="009A5F5F"/>
    <w:rsid w:val="009B3007"/>
    <w:rsid w:val="009B46B7"/>
    <w:rsid w:val="009B6834"/>
    <w:rsid w:val="009B6C67"/>
    <w:rsid w:val="009C3417"/>
    <w:rsid w:val="009C5A18"/>
    <w:rsid w:val="009D1E9C"/>
    <w:rsid w:val="009D245F"/>
    <w:rsid w:val="009E10D9"/>
    <w:rsid w:val="009E3E49"/>
    <w:rsid w:val="009F2CE4"/>
    <w:rsid w:val="009F6162"/>
    <w:rsid w:val="00A11873"/>
    <w:rsid w:val="00A1413F"/>
    <w:rsid w:val="00A304A0"/>
    <w:rsid w:val="00A3449F"/>
    <w:rsid w:val="00A37AEC"/>
    <w:rsid w:val="00A42B40"/>
    <w:rsid w:val="00A52E7E"/>
    <w:rsid w:val="00A54311"/>
    <w:rsid w:val="00A60029"/>
    <w:rsid w:val="00A60886"/>
    <w:rsid w:val="00A60DE7"/>
    <w:rsid w:val="00A71E15"/>
    <w:rsid w:val="00A73E1C"/>
    <w:rsid w:val="00A847F2"/>
    <w:rsid w:val="00AA211F"/>
    <w:rsid w:val="00AB739B"/>
    <w:rsid w:val="00AC21B5"/>
    <w:rsid w:val="00AC3411"/>
    <w:rsid w:val="00AC3DD8"/>
    <w:rsid w:val="00AC738E"/>
    <w:rsid w:val="00AC7AC5"/>
    <w:rsid w:val="00AD7922"/>
    <w:rsid w:val="00AE1896"/>
    <w:rsid w:val="00AE38F1"/>
    <w:rsid w:val="00AF3572"/>
    <w:rsid w:val="00AF38B9"/>
    <w:rsid w:val="00B02275"/>
    <w:rsid w:val="00B16228"/>
    <w:rsid w:val="00B21987"/>
    <w:rsid w:val="00B22821"/>
    <w:rsid w:val="00B23803"/>
    <w:rsid w:val="00B2496F"/>
    <w:rsid w:val="00B30509"/>
    <w:rsid w:val="00B30C38"/>
    <w:rsid w:val="00B32DE8"/>
    <w:rsid w:val="00B36747"/>
    <w:rsid w:val="00B43B9E"/>
    <w:rsid w:val="00B54455"/>
    <w:rsid w:val="00B6276D"/>
    <w:rsid w:val="00B649D5"/>
    <w:rsid w:val="00B65AE6"/>
    <w:rsid w:val="00B65E81"/>
    <w:rsid w:val="00B70EC8"/>
    <w:rsid w:val="00B74ABF"/>
    <w:rsid w:val="00B85C66"/>
    <w:rsid w:val="00B8714F"/>
    <w:rsid w:val="00B90C36"/>
    <w:rsid w:val="00B9313A"/>
    <w:rsid w:val="00B9385F"/>
    <w:rsid w:val="00B97E99"/>
    <w:rsid w:val="00BA22C5"/>
    <w:rsid w:val="00BA3545"/>
    <w:rsid w:val="00BA3EFF"/>
    <w:rsid w:val="00BA4A36"/>
    <w:rsid w:val="00BA64BF"/>
    <w:rsid w:val="00BB090C"/>
    <w:rsid w:val="00BB1E3B"/>
    <w:rsid w:val="00BB28F6"/>
    <w:rsid w:val="00BB6DF9"/>
    <w:rsid w:val="00BC0821"/>
    <w:rsid w:val="00BD082E"/>
    <w:rsid w:val="00BD1EA1"/>
    <w:rsid w:val="00BD2A44"/>
    <w:rsid w:val="00BF1FB7"/>
    <w:rsid w:val="00C00396"/>
    <w:rsid w:val="00C0067E"/>
    <w:rsid w:val="00C03AEF"/>
    <w:rsid w:val="00C07A9F"/>
    <w:rsid w:val="00C1032B"/>
    <w:rsid w:val="00C12F29"/>
    <w:rsid w:val="00C17A27"/>
    <w:rsid w:val="00C17CDD"/>
    <w:rsid w:val="00C20AE5"/>
    <w:rsid w:val="00C230EA"/>
    <w:rsid w:val="00C26D83"/>
    <w:rsid w:val="00C31F92"/>
    <w:rsid w:val="00C32736"/>
    <w:rsid w:val="00C443B7"/>
    <w:rsid w:val="00C514D0"/>
    <w:rsid w:val="00C52728"/>
    <w:rsid w:val="00C60DA3"/>
    <w:rsid w:val="00C75D03"/>
    <w:rsid w:val="00C76835"/>
    <w:rsid w:val="00C900C7"/>
    <w:rsid w:val="00C937F9"/>
    <w:rsid w:val="00C97D62"/>
    <w:rsid w:val="00CA37BA"/>
    <w:rsid w:val="00CA3B5F"/>
    <w:rsid w:val="00CA3B60"/>
    <w:rsid w:val="00CA658B"/>
    <w:rsid w:val="00CB2237"/>
    <w:rsid w:val="00CB4422"/>
    <w:rsid w:val="00CC1A42"/>
    <w:rsid w:val="00CC3773"/>
    <w:rsid w:val="00CC6B15"/>
    <w:rsid w:val="00CD005A"/>
    <w:rsid w:val="00CD5140"/>
    <w:rsid w:val="00CD54BC"/>
    <w:rsid w:val="00CF4948"/>
    <w:rsid w:val="00CF543C"/>
    <w:rsid w:val="00D000DE"/>
    <w:rsid w:val="00D24ADF"/>
    <w:rsid w:val="00D30043"/>
    <w:rsid w:val="00D36877"/>
    <w:rsid w:val="00D41D0B"/>
    <w:rsid w:val="00D42AAC"/>
    <w:rsid w:val="00D435AD"/>
    <w:rsid w:val="00D4538D"/>
    <w:rsid w:val="00D56EE7"/>
    <w:rsid w:val="00D57C34"/>
    <w:rsid w:val="00D6445B"/>
    <w:rsid w:val="00D80A46"/>
    <w:rsid w:val="00D84248"/>
    <w:rsid w:val="00D93A85"/>
    <w:rsid w:val="00D93FE4"/>
    <w:rsid w:val="00DA125C"/>
    <w:rsid w:val="00DA521E"/>
    <w:rsid w:val="00DB12D6"/>
    <w:rsid w:val="00DC11FD"/>
    <w:rsid w:val="00DC2CF2"/>
    <w:rsid w:val="00DC553C"/>
    <w:rsid w:val="00DC57A2"/>
    <w:rsid w:val="00DD1E84"/>
    <w:rsid w:val="00DD4BC1"/>
    <w:rsid w:val="00DD4BC6"/>
    <w:rsid w:val="00DD73F2"/>
    <w:rsid w:val="00DE54D0"/>
    <w:rsid w:val="00DE640B"/>
    <w:rsid w:val="00DE6E29"/>
    <w:rsid w:val="00DE7504"/>
    <w:rsid w:val="00DF250F"/>
    <w:rsid w:val="00DF7357"/>
    <w:rsid w:val="00E00AC2"/>
    <w:rsid w:val="00E0248F"/>
    <w:rsid w:val="00E02FEC"/>
    <w:rsid w:val="00E05EC6"/>
    <w:rsid w:val="00E221B3"/>
    <w:rsid w:val="00E22B70"/>
    <w:rsid w:val="00E237C3"/>
    <w:rsid w:val="00E24A50"/>
    <w:rsid w:val="00E3040E"/>
    <w:rsid w:val="00E30EBE"/>
    <w:rsid w:val="00E32F06"/>
    <w:rsid w:val="00E357CF"/>
    <w:rsid w:val="00E4367F"/>
    <w:rsid w:val="00E5018F"/>
    <w:rsid w:val="00E50319"/>
    <w:rsid w:val="00E50D4D"/>
    <w:rsid w:val="00E52145"/>
    <w:rsid w:val="00E559F4"/>
    <w:rsid w:val="00E56970"/>
    <w:rsid w:val="00E61F22"/>
    <w:rsid w:val="00E67293"/>
    <w:rsid w:val="00E6778A"/>
    <w:rsid w:val="00E7193F"/>
    <w:rsid w:val="00E7388D"/>
    <w:rsid w:val="00E7655A"/>
    <w:rsid w:val="00E850B1"/>
    <w:rsid w:val="00E90D91"/>
    <w:rsid w:val="00E90DD8"/>
    <w:rsid w:val="00E92504"/>
    <w:rsid w:val="00EB0C9A"/>
    <w:rsid w:val="00EB0CD0"/>
    <w:rsid w:val="00EC335F"/>
    <w:rsid w:val="00ED13DD"/>
    <w:rsid w:val="00ED21EB"/>
    <w:rsid w:val="00ED2622"/>
    <w:rsid w:val="00ED3CA0"/>
    <w:rsid w:val="00ED6E27"/>
    <w:rsid w:val="00EE0426"/>
    <w:rsid w:val="00EE103F"/>
    <w:rsid w:val="00EE16DC"/>
    <w:rsid w:val="00EE4B26"/>
    <w:rsid w:val="00EF6505"/>
    <w:rsid w:val="00F05EF5"/>
    <w:rsid w:val="00F0785D"/>
    <w:rsid w:val="00F213C2"/>
    <w:rsid w:val="00F2595B"/>
    <w:rsid w:val="00F2678B"/>
    <w:rsid w:val="00F40880"/>
    <w:rsid w:val="00F4705B"/>
    <w:rsid w:val="00F51F41"/>
    <w:rsid w:val="00F51F79"/>
    <w:rsid w:val="00F567D3"/>
    <w:rsid w:val="00F57172"/>
    <w:rsid w:val="00F626F4"/>
    <w:rsid w:val="00F72972"/>
    <w:rsid w:val="00F73D17"/>
    <w:rsid w:val="00F86DFE"/>
    <w:rsid w:val="00F95E7E"/>
    <w:rsid w:val="00FA0032"/>
    <w:rsid w:val="00FA1A61"/>
    <w:rsid w:val="00FC0202"/>
    <w:rsid w:val="00FC2211"/>
    <w:rsid w:val="00FC2C80"/>
    <w:rsid w:val="00FC6888"/>
    <w:rsid w:val="00FC744C"/>
    <w:rsid w:val="00FE089A"/>
    <w:rsid w:val="00FE3C2A"/>
    <w:rsid w:val="00FE3CB7"/>
    <w:rsid w:val="00FE4D8E"/>
    <w:rsid w:val="00FF1CD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80BA799B-551D-44FE-8B4B-E7C642EA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53C"/>
    <w:pPr>
      <w:spacing w:after="0" w:line="240" w:lineRule="auto"/>
    </w:pPr>
    <w:rPr>
      <w:rFonts w:ascii="Calibri" w:eastAsia="PMingLiU" w:hAnsi="Calibri" w:cs="Times New Roman"/>
      <w:lang w:eastAsia="zh-TW"/>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lang w:eastAsia="zh-TW"/>
    </w:rPr>
  </w:style>
  <w:style w:type="character" w:customStyle="1" w:styleId="Heading7Char">
    <w:name w:val="Heading 7 Char"/>
    <w:basedOn w:val="DefaultParagraphFont"/>
    <w:link w:val="Heading7"/>
    <w:rsid w:val="001F5046"/>
    <w:rPr>
      <w:rFonts w:ascii="Arial" w:eastAsia="PMingLiU" w:hAnsi="Arial" w:cs="Times New Roman"/>
      <w:lang w:eastAsia="zh-TW"/>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eastAsia="Calibri" w:cstheme="minorBidi"/>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ocked/>
    <w:rsid w:val="00D57C34"/>
    <w:rPr>
      <w:b/>
    </w:rPr>
  </w:style>
  <w:style w:type="paragraph" w:customStyle="1" w:styleId="Default">
    <w:name w:val="Default"/>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qFormat/>
    <w:rsid w:val="00AC3DD8"/>
  </w:style>
  <w:style w:type="paragraph" w:styleId="NoSpacing">
    <w:name w:val="No Spacing"/>
    <w:basedOn w:val="Normal"/>
    <w:uiPriority w:val="1"/>
    <w:qFormat/>
    <w:rsid w:val="00C514D0"/>
    <w:rPr>
      <w:rFonts w:eastAsia="SimSun"/>
      <w:lang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paragraph">
    <w:name w:val="paragraph"/>
    <w:basedOn w:val="Normal"/>
    <w:rsid w:val="006A521B"/>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6A521B"/>
  </w:style>
  <w:style w:type="character" w:customStyle="1" w:styleId="eop">
    <w:name w:val="eop"/>
    <w:basedOn w:val="DefaultParagraphFont"/>
    <w:rsid w:val="006A521B"/>
  </w:style>
  <w:style w:type="character" w:customStyle="1" w:styleId="fontstyle01">
    <w:name w:val="fontstyle01"/>
    <w:basedOn w:val="DefaultParagraphFont"/>
    <w:rsid w:val="00190AAE"/>
    <w:rPr>
      <w:rFonts w:ascii="Times New Roman" w:hAnsi="Times New Roman" w:cs="Times New Roman" w:hint="default"/>
      <w:b w:val="0"/>
      <w:bCs w:val="0"/>
      <w:i w:val="0"/>
      <w:iCs w:val="0"/>
      <w:color w:val="000000"/>
      <w:sz w:val="20"/>
      <w:szCs w:val="20"/>
    </w:rPr>
  </w:style>
  <w:style w:type="character" w:styleId="Emphasis">
    <w:name w:val="Emphasis"/>
    <w:uiPriority w:val="20"/>
    <w:qFormat/>
    <w:rsid w:val="006336CB"/>
    <w:rPr>
      <w:i/>
      <w:iCs/>
    </w:rPr>
  </w:style>
  <w:style w:type="character" w:styleId="Strong">
    <w:name w:val="Strong"/>
    <w:uiPriority w:val="22"/>
    <w:qFormat/>
    <w:rsid w:val="006336CB"/>
    <w:rPr>
      <w:b/>
      <w:bCs/>
    </w:rPr>
  </w:style>
  <w:style w:type="paragraph" w:customStyle="1" w:styleId="listparagraph0">
    <w:name w:val="listparagraph"/>
    <w:basedOn w:val="Normal"/>
    <w:rsid w:val="007C11C6"/>
    <w:pPr>
      <w:spacing w:before="100" w:beforeAutospacing="1" w:after="100" w:afterAutospacing="1"/>
    </w:pPr>
    <w:rPr>
      <w:rFonts w:eastAsia="Calibri" w:cs="Calibri"/>
      <w:lang w:eastAsia="en-US"/>
    </w:rPr>
  </w:style>
  <w:style w:type="character" w:styleId="Hyperlink">
    <w:name w:val="Hyperlink"/>
    <w:basedOn w:val="DefaultParagraphFont"/>
    <w:uiPriority w:val="99"/>
    <w:unhideWhenUsed/>
    <w:rsid w:val="000E54D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3436">
      <w:bodyDiv w:val="1"/>
      <w:marLeft w:val="0"/>
      <w:marRight w:val="0"/>
      <w:marTop w:val="0"/>
      <w:marBottom w:val="0"/>
      <w:divBdr>
        <w:top w:val="none" w:sz="0" w:space="0" w:color="auto"/>
        <w:left w:val="none" w:sz="0" w:space="0" w:color="auto"/>
        <w:bottom w:val="none" w:sz="0" w:space="0" w:color="auto"/>
        <w:right w:val="none" w:sz="0" w:space="0" w:color="auto"/>
      </w:divBdr>
    </w:div>
    <w:div w:id="14116663">
      <w:bodyDiv w:val="1"/>
      <w:marLeft w:val="0"/>
      <w:marRight w:val="0"/>
      <w:marTop w:val="0"/>
      <w:marBottom w:val="0"/>
      <w:divBdr>
        <w:top w:val="none" w:sz="0" w:space="0" w:color="auto"/>
        <w:left w:val="none" w:sz="0" w:space="0" w:color="auto"/>
        <w:bottom w:val="none" w:sz="0" w:space="0" w:color="auto"/>
        <w:right w:val="none" w:sz="0" w:space="0" w:color="auto"/>
      </w:divBdr>
      <w:divsChild>
        <w:div w:id="1261719728">
          <w:marLeft w:val="1267"/>
          <w:marRight w:val="0"/>
          <w:marTop w:val="18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7114457">
      <w:bodyDiv w:val="1"/>
      <w:marLeft w:val="0"/>
      <w:marRight w:val="0"/>
      <w:marTop w:val="0"/>
      <w:marBottom w:val="0"/>
      <w:divBdr>
        <w:top w:val="none" w:sz="0" w:space="0" w:color="auto"/>
        <w:left w:val="none" w:sz="0" w:space="0" w:color="auto"/>
        <w:bottom w:val="none" w:sz="0" w:space="0" w:color="auto"/>
        <w:right w:val="none" w:sz="0" w:space="0" w:color="auto"/>
      </w:divBdr>
      <w:divsChild>
        <w:div w:id="420301899">
          <w:marLeft w:val="1267"/>
          <w:marRight w:val="0"/>
          <w:marTop w:val="180"/>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sChild>
    </w:div>
    <w:div w:id="174730115">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099133093">
          <w:marLeft w:val="1166"/>
          <w:marRight w:val="0"/>
          <w:marTop w:val="96"/>
          <w:marBottom w:val="0"/>
          <w:divBdr>
            <w:top w:val="none" w:sz="0" w:space="0" w:color="auto"/>
            <w:left w:val="none" w:sz="0" w:space="0" w:color="auto"/>
            <w:bottom w:val="none" w:sz="0" w:space="0" w:color="auto"/>
            <w:right w:val="none" w:sz="0" w:space="0" w:color="auto"/>
          </w:divBdr>
        </w:div>
        <w:div w:id="1993873175">
          <w:marLeft w:val="547"/>
          <w:marRight w:val="0"/>
          <w:marTop w:val="115"/>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282807351">
      <w:bodyDiv w:val="1"/>
      <w:marLeft w:val="0"/>
      <w:marRight w:val="0"/>
      <w:marTop w:val="0"/>
      <w:marBottom w:val="0"/>
      <w:divBdr>
        <w:top w:val="none" w:sz="0" w:space="0" w:color="auto"/>
        <w:left w:val="none" w:sz="0" w:space="0" w:color="auto"/>
        <w:bottom w:val="none" w:sz="0" w:space="0" w:color="auto"/>
        <w:right w:val="none" w:sz="0" w:space="0" w:color="auto"/>
      </w:divBdr>
      <w:divsChild>
        <w:div w:id="1031764574">
          <w:marLeft w:val="1267"/>
          <w:marRight w:val="0"/>
          <w:marTop w:val="180"/>
          <w:marBottom w:val="0"/>
          <w:divBdr>
            <w:top w:val="none" w:sz="0" w:space="0" w:color="auto"/>
            <w:left w:val="none" w:sz="0" w:space="0" w:color="auto"/>
            <w:bottom w:val="none" w:sz="0" w:space="0" w:color="auto"/>
            <w:right w:val="none" w:sz="0" w:space="0" w:color="auto"/>
          </w:divBdr>
        </w:div>
      </w:divsChild>
    </w:div>
    <w:div w:id="353045411">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282684779">
          <w:marLeft w:val="547"/>
          <w:marRight w:val="0"/>
          <w:marTop w:val="115"/>
          <w:marBottom w:val="0"/>
          <w:divBdr>
            <w:top w:val="none" w:sz="0" w:space="0" w:color="auto"/>
            <w:left w:val="none" w:sz="0" w:space="0" w:color="auto"/>
            <w:bottom w:val="none" w:sz="0" w:space="0" w:color="auto"/>
            <w:right w:val="none" w:sz="0" w:space="0" w:color="auto"/>
          </w:divBdr>
        </w:div>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sChild>
    </w:div>
    <w:div w:id="400249922">
      <w:bodyDiv w:val="1"/>
      <w:marLeft w:val="0"/>
      <w:marRight w:val="0"/>
      <w:marTop w:val="0"/>
      <w:marBottom w:val="0"/>
      <w:divBdr>
        <w:top w:val="none" w:sz="0" w:space="0" w:color="auto"/>
        <w:left w:val="none" w:sz="0" w:space="0" w:color="auto"/>
        <w:bottom w:val="none" w:sz="0" w:space="0" w:color="auto"/>
        <w:right w:val="none" w:sz="0" w:space="0" w:color="auto"/>
      </w:divBdr>
      <w:divsChild>
        <w:div w:id="323706911">
          <w:marLeft w:val="432"/>
          <w:marRight w:val="0"/>
          <w:marTop w:val="24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28884213">
      <w:bodyDiv w:val="1"/>
      <w:marLeft w:val="0"/>
      <w:marRight w:val="0"/>
      <w:marTop w:val="0"/>
      <w:marBottom w:val="0"/>
      <w:divBdr>
        <w:top w:val="none" w:sz="0" w:space="0" w:color="auto"/>
        <w:left w:val="none" w:sz="0" w:space="0" w:color="auto"/>
        <w:bottom w:val="none" w:sz="0" w:space="0" w:color="auto"/>
        <w:right w:val="none" w:sz="0" w:space="0" w:color="auto"/>
      </w:divBdr>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559098188">
      <w:bodyDiv w:val="1"/>
      <w:marLeft w:val="0"/>
      <w:marRight w:val="0"/>
      <w:marTop w:val="0"/>
      <w:marBottom w:val="0"/>
      <w:divBdr>
        <w:top w:val="none" w:sz="0" w:space="0" w:color="auto"/>
        <w:left w:val="none" w:sz="0" w:space="0" w:color="auto"/>
        <w:bottom w:val="none" w:sz="0" w:space="0" w:color="auto"/>
        <w:right w:val="none" w:sz="0" w:space="0" w:color="auto"/>
      </w:divBdr>
    </w:div>
    <w:div w:id="600577317">
      <w:bodyDiv w:val="1"/>
      <w:marLeft w:val="0"/>
      <w:marRight w:val="0"/>
      <w:marTop w:val="0"/>
      <w:marBottom w:val="0"/>
      <w:divBdr>
        <w:top w:val="none" w:sz="0" w:space="0" w:color="auto"/>
        <w:left w:val="none" w:sz="0" w:space="0" w:color="auto"/>
        <w:bottom w:val="none" w:sz="0" w:space="0" w:color="auto"/>
        <w:right w:val="none" w:sz="0" w:space="0" w:color="auto"/>
      </w:divBdr>
      <w:divsChild>
        <w:div w:id="55513784">
          <w:marLeft w:val="432"/>
          <w:marRight w:val="0"/>
          <w:marTop w:val="240"/>
          <w:marBottom w:val="0"/>
          <w:divBdr>
            <w:top w:val="none" w:sz="0" w:space="0" w:color="auto"/>
            <w:left w:val="none" w:sz="0" w:space="0" w:color="auto"/>
            <w:bottom w:val="none" w:sz="0" w:space="0" w:color="auto"/>
            <w:right w:val="none" w:sz="0" w:space="0" w:color="auto"/>
          </w:divBdr>
        </w:div>
      </w:divsChild>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41931067">
      <w:bodyDiv w:val="1"/>
      <w:marLeft w:val="0"/>
      <w:marRight w:val="0"/>
      <w:marTop w:val="0"/>
      <w:marBottom w:val="0"/>
      <w:divBdr>
        <w:top w:val="none" w:sz="0" w:space="0" w:color="auto"/>
        <w:left w:val="none" w:sz="0" w:space="0" w:color="auto"/>
        <w:bottom w:val="none" w:sz="0" w:space="0" w:color="auto"/>
        <w:right w:val="none" w:sz="0" w:space="0" w:color="auto"/>
      </w:divBdr>
      <w:divsChild>
        <w:div w:id="252327636">
          <w:marLeft w:val="1166"/>
          <w:marRight w:val="0"/>
          <w:marTop w:val="86"/>
          <w:marBottom w:val="0"/>
          <w:divBdr>
            <w:top w:val="none" w:sz="0" w:space="0" w:color="auto"/>
            <w:left w:val="none" w:sz="0" w:space="0" w:color="auto"/>
            <w:bottom w:val="none" w:sz="0" w:space="0" w:color="auto"/>
            <w:right w:val="none" w:sz="0" w:space="0" w:color="auto"/>
          </w:divBdr>
        </w:div>
        <w:div w:id="1693798258">
          <w:marLeft w:val="1800"/>
          <w:marRight w:val="0"/>
          <w:marTop w:val="86"/>
          <w:marBottom w:val="0"/>
          <w:divBdr>
            <w:top w:val="none" w:sz="0" w:space="0" w:color="auto"/>
            <w:left w:val="none" w:sz="0" w:space="0" w:color="auto"/>
            <w:bottom w:val="none" w:sz="0" w:space="0" w:color="auto"/>
            <w:right w:val="none" w:sz="0" w:space="0" w:color="auto"/>
          </w:divBdr>
        </w:div>
        <w:div w:id="339166253">
          <w:marLeft w:val="1800"/>
          <w:marRight w:val="0"/>
          <w:marTop w:val="86"/>
          <w:marBottom w:val="0"/>
          <w:divBdr>
            <w:top w:val="none" w:sz="0" w:space="0" w:color="auto"/>
            <w:left w:val="none" w:sz="0" w:space="0" w:color="auto"/>
            <w:bottom w:val="none" w:sz="0" w:space="0" w:color="auto"/>
            <w:right w:val="none" w:sz="0" w:space="0" w:color="auto"/>
          </w:divBdr>
        </w:div>
        <w:div w:id="1488593702">
          <w:marLeft w:val="1166"/>
          <w:marRight w:val="0"/>
          <w:marTop w:val="86"/>
          <w:marBottom w:val="0"/>
          <w:divBdr>
            <w:top w:val="none" w:sz="0" w:space="0" w:color="auto"/>
            <w:left w:val="none" w:sz="0" w:space="0" w:color="auto"/>
            <w:bottom w:val="none" w:sz="0" w:space="0" w:color="auto"/>
            <w:right w:val="none" w:sz="0" w:space="0" w:color="auto"/>
          </w:divBdr>
        </w:div>
        <w:div w:id="1421826280">
          <w:marLeft w:val="1800"/>
          <w:marRight w:val="0"/>
          <w:marTop w:val="86"/>
          <w:marBottom w:val="0"/>
          <w:divBdr>
            <w:top w:val="none" w:sz="0" w:space="0" w:color="auto"/>
            <w:left w:val="none" w:sz="0" w:space="0" w:color="auto"/>
            <w:bottom w:val="none" w:sz="0" w:space="0" w:color="auto"/>
            <w:right w:val="none" w:sz="0" w:space="0" w:color="auto"/>
          </w:divBdr>
        </w:div>
        <w:div w:id="2093311459">
          <w:marLeft w:val="1800"/>
          <w:marRight w:val="0"/>
          <w:marTop w:val="86"/>
          <w:marBottom w:val="0"/>
          <w:divBdr>
            <w:top w:val="none" w:sz="0" w:space="0" w:color="auto"/>
            <w:left w:val="none" w:sz="0" w:space="0" w:color="auto"/>
            <w:bottom w:val="none" w:sz="0" w:space="0" w:color="auto"/>
            <w:right w:val="none" w:sz="0" w:space="0" w:color="auto"/>
          </w:divBdr>
        </w:div>
        <w:div w:id="219287705">
          <w:marLeft w:val="1166"/>
          <w:marRight w:val="0"/>
          <w:marTop w:val="86"/>
          <w:marBottom w:val="0"/>
          <w:divBdr>
            <w:top w:val="none" w:sz="0" w:space="0" w:color="auto"/>
            <w:left w:val="none" w:sz="0" w:space="0" w:color="auto"/>
            <w:bottom w:val="none" w:sz="0" w:space="0" w:color="auto"/>
            <w:right w:val="none" w:sz="0" w:space="0" w:color="auto"/>
          </w:divBdr>
        </w:div>
        <w:div w:id="323702136">
          <w:marLeft w:val="1166"/>
          <w:marRight w:val="0"/>
          <w:marTop w:val="86"/>
          <w:marBottom w:val="0"/>
          <w:divBdr>
            <w:top w:val="none" w:sz="0" w:space="0" w:color="auto"/>
            <w:left w:val="none" w:sz="0" w:space="0" w:color="auto"/>
            <w:bottom w:val="none" w:sz="0" w:space="0" w:color="auto"/>
            <w:right w:val="none" w:sz="0" w:space="0" w:color="auto"/>
          </w:divBdr>
        </w:div>
      </w:divsChild>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2404806">
      <w:bodyDiv w:val="1"/>
      <w:marLeft w:val="0"/>
      <w:marRight w:val="0"/>
      <w:marTop w:val="0"/>
      <w:marBottom w:val="0"/>
      <w:divBdr>
        <w:top w:val="none" w:sz="0" w:space="0" w:color="auto"/>
        <w:left w:val="none" w:sz="0" w:space="0" w:color="auto"/>
        <w:bottom w:val="none" w:sz="0" w:space="0" w:color="auto"/>
        <w:right w:val="none" w:sz="0" w:space="0" w:color="auto"/>
      </w:divBdr>
      <w:divsChild>
        <w:div w:id="2061585898">
          <w:marLeft w:val="1267"/>
          <w:marRight w:val="0"/>
          <w:marTop w:val="180"/>
          <w:marBottom w:val="0"/>
          <w:divBdr>
            <w:top w:val="none" w:sz="0" w:space="0" w:color="auto"/>
            <w:left w:val="none" w:sz="0" w:space="0" w:color="auto"/>
            <w:bottom w:val="none" w:sz="0" w:space="0" w:color="auto"/>
            <w:right w:val="none" w:sz="0" w:space="0" w:color="auto"/>
          </w:divBdr>
        </w:div>
      </w:divsChild>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20925663">
      <w:bodyDiv w:val="1"/>
      <w:marLeft w:val="0"/>
      <w:marRight w:val="0"/>
      <w:marTop w:val="0"/>
      <w:marBottom w:val="0"/>
      <w:divBdr>
        <w:top w:val="none" w:sz="0" w:space="0" w:color="auto"/>
        <w:left w:val="none" w:sz="0" w:space="0" w:color="auto"/>
        <w:bottom w:val="none" w:sz="0" w:space="0" w:color="auto"/>
        <w:right w:val="none" w:sz="0" w:space="0" w:color="auto"/>
      </w:divBdr>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74317571">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90017">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 w:id="359740370">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sChild>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325788953">
          <w:marLeft w:val="1166"/>
          <w:marRight w:val="0"/>
          <w:marTop w:val="96"/>
          <w:marBottom w:val="0"/>
          <w:divBdr>
            <w:top w:val="none" w:sz="0" w:space="0" w:color="auto"/>
            <w:left w:val="none" w:sz="0" w:space="0" w:color="auto"/>
            <w:bottom w:val="none" w:sz="0" w:space="0" w:color="auto"/>
            <w:right w:val="none" w:sz="0" w:space="0" w:color="auto"/>
          </w:divBdr>
        </w:div>
        <w:div w:id="1088504971">
          <w:marLeft w:val="547"/>
          <w:marRight w:val="0"/>
          <w:marTop w:val="115"/>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2484104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710105636">
          <w:marLeft w:val="547"/>
          <w:marRight w:val="0"/>
          <w:marTop w:val="115"/>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262340871">
          <w:marLeft w:val="188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69109047">
      <w:bodyDiv w:val="1"/>
      <w:marLeft w:val="0"/>
      <w:marRight w:val="0"/>
      <w:marTop w:val="0"/>
      <w:marBottom w:val="0"/>
      <w:divBdr>
        <w:top w:val="none" w:sz="0" w:space="0" w:color="auto"/>
        <w:left w:val="none" w:sz="0" w:space="0" w:color="auto"/>
        <w:bottom w:val="none" w:sz="0" w:space="0" w:color="auto"/>
        <w:right w:val="none" w:sz="0" w:space="0" w:color="auto"/>
      </w:divBdr>
      <w:divsChild>
        <w:div w:id="1036807552">
          <w:marLeft w:val="432"/>
          <w:marRight w:val="0"/>
          <w:marTop w:val="240"/>
          <w:marBottom w:val="0"/>
          <w:divBdr>
            <w:top w:val="none" w:sz="0" w:space="0" w:color="auto"/>
            <w:left w:val="none" w:sz="0" w:space="0" w:color="auto"/>
            <w:bottom w:val="none" w:sz="0" w:space="0" w:color="auto"/>
            <w:right w:val="none" w:sz="0" w:space="0" w:color="auto"/>
          </w:divBdr>
        </w:div>
        <w:div w:id="1182164774">
          <w:marLeft w:val="1267"/>
          <w:marRight w:val="0"/>
          <w:marTop w:val="180"/>
          <w:marBottom w:val="0"/>
          <w:divBdr>
            <w:top w:val="none" w:sz="0" w:space="0" w:color="auto"/>
            <w:left w:val="none" w:sz="0" w:space="0" w:color="auto"/>
            <w:bottom w:val="none" w:sz="0" w:space="0" w:color="auto"/>
            <w:right w:val="none" w:sz="0" w:space="0" w:color="auto"/>
          </w:divBdr>
        </w:div>
      </w:divsChild>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32407668">
      <w:bodyDiv w:val="1"/>
      <w:marLeft w:val="0"/>
      <w:marRight w:val="0"/>
      <w:marTop w:val="0"/>
      <w:marBottom w:val="0"/>
      <w:divBdr>
        <w:top w:val="none" w:sz="0" w:space="0" w:color="auto"/>
        <w:left w:val="none" w:sz="0" w:space="0" w:color="auto"/>
        <w:bottom w:val="none" w:sz="0" w:space="0" w:color="auto"/>
        <w:right w:val="none" w:sz="0" w:space="0" w:color="auto"/>
      </w:divBdr>
    </w:div>
    <w:div w:id="1181042275">
      <w:bodyDiv w:val="1"/>
      <w:marLeft w:val="0"/>
      <w:marRight w:val="0"/>
      <w:marTop w:val="0"/>
      <w:marBottom w:val="0"/>
      <w:divBdr>
        <w:top w:val="none" w:sz="0" w:space="0" w:color="auto"/>
        <w:left w:val="none" w:sz="0" w:space="0" w:color="auto"/>
        <w:bottom w:val="none" w:sz="0" w:space="0" w:color="auto"/>
        <w:right w:val="none" w:sz="0" w:space="0" w:color="auto"/>
      </w:divBdr>
    </w:div>
    <w:div w:id="1252161461">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223562222">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1142045139">
          <w:marLeft w:val="547"/>
          <w:marRight w:val="0"/>
          <w:marTop w:val="115"/>
          <w:marBottom w:val="0"/>
          <w:divBdr>
            <w:top w:val="none" w:sz="0" w:space="0" w:color="auto"/>
            <w:left w:val="none" w:sz="0" w:space="0" w:color="auto"/>
            <w:bottom w:val="none" w:sz="0" w:space="0" w:color="auto"/>
            <w:right w:val="none" w:sz="0" w:space="0" w:color="auto"/>
          </w:divBdr>
        </w:div>
      </w:divsChild>
    </w:div>
    <w:div w:id="1299190136">
      <w:bodyDiv w:val="1"/>
      <w:marLeft w:val="0"/>
      <w:marRight w:val="0"/>
      <w:marTop w:val="0"/>
      <w:marBottom w:val="0"/>
      <w:divBdr>
        <w:top w:val="none" w:sz="0" w:space="0" w:color="auto"/>
        <w:left w:val="none" w:sz="0" w:space="0" w:color="auto"/>
        <w:bottom w:val="none" w:sz="0" w:space="0" w:color="auto"/>
        <w:right w:val="none" w:sz="0" w:space="0" w:color="auto"/>
      </w:divBdr>
      <w:divsChild>
        <w:div w:id="650014505">
          <w:marLeft w:val="432"/>
          <w:marRight w:val="0"/>
          <w:marTop w:val="240"/>
          <w:marBottom w:val="0"/>
          <w:divBdr>
            <w:top w:val="none" w:sz="0" w:space="0" w:color="auto"/>
            <w:left w:val="none" w:sz="0" w:space="0" w:color="auto"/>
            <w:bottom w:val="none" w:sz="0" w:space="0" w:color="auto"/>
            <w:right w:val="none" w:sz="0" w:space="0" w:color="auto"/>
          </w:divBdr>
        </w:div>
        <w:div w:id="982196291">
          <w:marLeft w:val="432"/>
          <w:marRight w:val="0"/>
          <w:marTop w:val="240"/>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70008942">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3945362">
          <w:marLeft w:val="547"/>
          <w:marRight w:val="0"/>
          <w:marTop w:val="106"/>
          <w:marBottom w:val="0"/>
          <w:divBdr>
            <w:top w:val="none" w:sz="0" w:space="0" w:color="auto"/>
            <w:left w:val="none" w:sz="0" w:space="0" w:color="auto"/>
            <w:bottom w:val="none" w:sz="0" w:space="0" w:color="auto"/>
            <w:right w:val="none" w:sz="0" w:space="0" w:color="auto"/>
          </w:divBdr>
        </w:div>
      </w:divsChild>
    </w:div>
    <w:div w:id="1370715148">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5863376">
      <w:bodyDiv w:val="1"/>
      <w:marLeft w:val="0"/>
      <w:marRight w:val="0"/>
      <w:marTop w:val="0"/>
      <w:marBottom w:val="0"/>
      <w:divBdr>
        <w:top w:val="none" w:sz="0" w:space="0" w:color="auto"/>
        <w:left w:val="none" w:sz="0" w:space="0" w:color="auto"/>
        <w:bottom w:val="none" w:sz="0" w:space="0" w:color="auto"/>
        <w:right w:val="none" w:sz="0" w:space="0" w:color="auto"/>
      </w:divBdr>
      <w:divsChild>
        <w:div w:id="1448892205">
          <w:marLeft w:val="547"/>
          <w:marRight w:val="0"/>
          <w:marTop w:val="86"/>
          <w:marBottom w:val="0"/>
          <w:divBdr>
            <w:top w:val="none" w:sz="0" w:space="0" w:color="auto"/>
            <w:left w:val="none" w:sz="0" w:space="0" w:color="auto"/>
            <w:bottom w:val="none" w:sz="0" w:space="0" w:color="auto"/>
            <w:right w:val="none" w:sz="0" w:space="0" w:color="auto"/>
          </w:divBdr>
        </w:div>
        <w:div w:id="1229267389">
          <w:marLeft w:val="1166"/>
          <w:marRight w:val="0"/>
          <w:marTop w:val="86"/>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70590710">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 w:id="1746762071">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sChild>
    </w:div>
    <w:div w:id="1653024711">
      <w:bodyDiv w:val="1"/>
      <w:marLeft w:val="0"/>
      <w:marRight w:val="0"/>
      <w:marTop w:val="0"/>
      <w:marBottom w:val="0"/>
      <w:divBdr>
        <w:top w:val="none" w:sz="0" w:space="0" w:color="auto"/>
        <w:left w:val="none" w:sz="0" w:space="0" w:color="auto"/>
        <w:bottom w:val="none" w:sz="0" w:space="0" w:color="auto"/>
        <w:right w:val="none" w:sz="0" w:space="0" w:color="auto"/>
      </w:divBdr>
    </w:div>
    <w:div w:id="1728063853">
      <w:bodyDiv w:val="1"/>
      <w:marLeft w:val="0"/>
      <w:marRight w:val="0"/>
      <w:marTop w:val="0"/>
      <w:marBottom w:val="0"/>
      <w:divBdr>
        <w:top w:val="none" w:sz="0" w:space="0" w:color="auto"/>
        <w:left w:val="none" w:sz="0" w:space="0" w:color="auto"/>
        <w:bottom w:val="none" w:sz="0" w:space="0" w:color="auto"/>
        <w:right w:val="none" w:sz="0" w:space="0" w:color="auto"/>
      </w:divBdr>
      <w:divsChild>
        <w:div w:id="172451316">
          <w:marLeft w:val="446"/>
          <w:marRight w:val="0"/>
          <w:marTop w:val="0"/>
          <w:marBottom w:val="0"/>
          <w:divBdr>
            <w:top w:val="none" w:sz="0" w:space="0" w:color="auto"/>
            <w:left w:val="none" w:sz="0" w:space="0" w:color="auto"/>
            <w:bottom w:val="none" w:sz="0" w:space="0" w:color="auto"/>
            <w:right w:val="none" w:sz="0" w:space="0" w:color="auto"/>
          </w:divBdr>
        </w:div>
      </w:divsChild>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16805950">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229800726">
          <w:marLeft w:val="1166"/>
          <w:marRight w:val="0"/>
          <w:marTop w:val="77"/>
          <w:marBottom w:val="0"/>
          <w:divBdr>
            <w:top w:val="none" w:sz="0" w:space="0" w:color="auto"/>
            <w:left w:val="none" w:sz="0" w:space="0" w:color="auto"/>
            <w:bottom w:val="none" w:sz="0" w:space="0" w:color="auto"/>
            <w:right w:val="none" w:sz="0" w:space="0" w:color="auto"/>
          </w:divBdr>
        </w:div>
        <w:div w:id="1597905883">
          <w:marLeft w:val="547"/>
          <w:marRight w:val="0"/>
          <w:marTop w:val="96"/>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095469070">
      <w:bodyDiv w:val="1"/>
      <w:marLeft w:val="0"/>
      <w:marRight w:val="0"/>
      <w:marTop w:val="0"/>
      <w:marBottom w:val="0"/>
      <w:divBdr>
        <w:top w:val="none" w:sz="0" w:space="0" w:color="auto"/>
        <w:left w:val="none" w:sz="0" w:space="0" w:color="auto"/>
        <w:bottom w:val="none" w:sz="0" w:space="0" w:color="auto"/>
        <w:right w:val="none" w:sz="0" w:space="0" w:color="auto"/>
      </w:divBdr>
    </w:div>
    <w:div w:id="2117750028">
      <w:bodyDiv w:val="1"/>
      <w:marLeft w:val="0"/>
      <w:marRight w:val="0"/>
      <w:marTop w:val="0"/>
      <w:marBottom w:val="0"/>
      <w:divBdr>
        <w:top w:val="none" w:sz="0" w:space="0" w:color="auto"/>
        <w:left w:val="none" w:sz="0" w:space="0" w:color="auto"/>
        <w:bottom w:val="none" w:sz="0" w:space="0" w:color="auto"/>
        <w:right w:val="none" w:sz="0" w:space="0" w:color="auto"/>
      </w:divBdr>
      <w:divsChild>
        <w:div w:id="1112163082">
          <w:marLeft w:val="432"/>
          <w:marRight w:val="0"/>
          <w:marTop w:val="240"/>
          <w:marBottom w:val="0"/>
          <w:divBdr>
            <w:top w:val="none" w:sz="0" w:space="0" w:color="auto"/>
            <w:left w:val="none" w:sz="0" w:space="0" w:color="auto"/>
            <w:bottom w:val="none" w:sz="0" w:space="0" w:color="auto"/>
            <w:right w:val="none" w:sz="0" w:space="0" w:color="auto"/>
          </w:divBdr>
        </w:div>
      </w:divsChild>
    </w:div>
    <w:div w:id="21406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151BB-A9B7-43F9-8820-71AE613E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1949</Words>
  <Characters>11111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13034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feedback enhancements for HARQ-ACK</dc:title>
  <dc:subject/>
  <dc:creator>Abdellatif Salah</dc:creator>
  <cp:keywords>On UE feedback enhancements for HARQ-ACK</cp:keywords>
  <dc:description/>
  <cp:lastModifiedBy>Abdellatif Salah</cp:lastModifiedBy>
  <cp:revision>2</cp:revision>
  <dcterms:created xsi:type="dcterms:W3CDTF">2021-10-01T13:25:00Z</dcterms:created>
  <dcterms:modified xsi:type="dcterms:W3CDTF">2021-10-01T13:25:00Z</dcterms:modified>
</cp:coreProperties>
</file>